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25A" w:rsidRPr="00B10561" w:rsidRDefault="0074725A" w:rsidP="00985C48">
      <w:pPr>
        <w:spacing w:after="0" w:line="240" w:lineRule="auto"/>
        <w:rPr>
          <w:b/>
          <w:sz w:val="28"/>
          <w:szCs w:val="28"/>
        </w:rPr>
      </w:pPr>
      <w:r w:rsidRPr="00B10561">
        <w:rPr>
          <w:b/>
          <w:sz w:val="28"/>
          <w:szCs w:val="28"/>
        </w:rPr>
        <w:t>Academic Affairs</w:t>
      </w:r>
    </w:p>
    <w:p w:rsidR="0074725A" w:rsidRPr="006B4C6B" w:rsidRDefault="0074725A" w:rsidP="00381003">
      <w:pPr>
        <w:spacing w:after="0" w:line="276" w:lineRule="auto"/>
        <w:rPr>
          <w:b/>
          <w:sz w:val="24"/>
        </w:rPr>
      </w:pPr>
      <w:r w:rsidRPr="006B4C6B">
        <w:rPr>
          <w:b/>
          <w:sz w:val="24"/>
        </w:rPr>
        <w:t>Summary:</w:t>
      </w:r>
    </w:p>
    <w:p w:rsidR="0074725A" w:rsidRDefault="0074725A" w:rsidP="00381003">
      <w:pPr>
        <w:spacing w:line="276" w:lineRule="auto"/>
      </w:pPr>
      <w:r w:rsidRPr="001223BD">
        <w:t xml:space="preserve">The total allocation </w:t>
      </w:r>
      <w:r>
        <w:t>includes</w:t>
      </w:r>
      <w:r w:rsidRPr="001223BD">
        <w:t xml:space="preserve"> three components: </w:t>
      </w:r>
      <w:r>
        <w:t>Instructional</w:t>
      </w:r>
      <w:r w:rsidRPr="001223BD">
        <w:t xml:space="preserve"> Salaries, Operating</w:t>
      </w:r>
      <w:r w:rsidR="002B6D41">
        <w:t xml:space="preserve"> Funds</w:t>
      </w:r>
      <w:r>
        <w:t xml:space="preserve">, and </w:t>
      </w:r>
      <w:r w:rsidRPr="00466D1E">
        <w:t>Academic</w:t>
      </w:r>
      <w:r>
        <w:t xml:space="preserve"> Student Support</w:t>
      </w:r>
      <w:r w:rsidR="002B6D41">
        <w:t xml:space="preserve"> Funds</w:t>
      </w:r>
      <w:r w:rsidRPr="001223BD">
        <w:t xml:space="preserve">. </w:t>
      </w:r>
      <w:r>
        <w:t xml:space="preserve">A key variable in this category is the </w:t>
      </w:r>
      <w:r w:rsidR="002B6D41">
        <w:t>‘</w:t>
      </w:r>
      <w:r>
        <w:t>Modeled Instructional FTE</w:t>
      </w:r>
      <w:r w:rsidR="002B6D41">
        <w:t>’</w:t>
      </w:r>
      <w:r>
        <w:t xml:space="preserve"> which is </w:t>
      </w:r>
      <w:r w:rsidR="002B6D41">
        <w:t>a</w:t>
      </w:r>
      <w:r>
        <w:t xml:space="preserve"> calculated </w:t>
      </w:r>
      <w:r w:rsidR="002B6D41">
        <w:t>i</w:t>
      </w:r>
      <w:r>
        <w:t xml:space="preserve">nstructional FTE necessary to teach the Forecasted Student Credit Hours, by </w:t>
      </w:r>
      <w:r w:rsidRPr="00426324">
        <w:t xml:space="preserve">student level (undergraduate and graduate) and </w:t>
      </w:r>
      <w:r>
        <w:t>instructional</w:t>
      </w:r>
      <w:r w:rsidRPr="00426324">
        <w:t xml:space="preserve"> type</w:t>
      </w:r>
      <w:r>
        <w:t xml:space="preserve"> (Tenure and Other</w:t>
      </w:r>
      <w:r w:rsidRPr="00426324">
        <w:t>)</w:t>
      </w:r>
      <w:r w:rsidR="00305B10">
        <w:t xml:space="preserve"> based </w:t>
      </w:r>
      <w:r w:rsidR="00A160E3">
        <w:t>on</w:t>
      </w:r>
      <w:r w:rsidR="00305B10">
        <w:t xml:space="preserve"> national benchmarks</w:t>
      </w:r>
      <w:r w:rsidR="002B6D41">
        <w:t xml:space="preserve"> (NB)</w:t>
      </w:r>
      <w:r w:rsidRPr="00426324">
        <w:t xml:space="preserve">. </w:t>
      </w:r>
      <w:r>
        <w:t xml:space="preserve">‘Instructional </w:t>
      </w:r>
      <w:r w:rsidRPr="00514851">
        <w:t>Salaries</w:t>
      </w:r>
      <w:r>
        <w:t>’</w:t>
      </w:r>
      <w:r w:rsidR="00305B10">
        <w:t xml:space="preserve"> are based on the</w:t>
      </w:r>
      <w:r w:rsidRPr="00514851">
        <w:t xml:space="preserve"> Modeled </w:t>
      </w:r>
      <w:r>
        <w:t xml:space="preserve">Instructional FTE and </w:t>
      </w:r>
      <w:r w:rsidR="00A160E3">
        <w:t>salary amounts by instructor type</w:t>
      </w:r>
      <w:r w:rsidRPr="00514851">
        <w:t xml:space="preserve">. </w:t>
      </w:r>
      <w:r>
        <w:t>‘</w:t>
      </w:r>
      <w:r w:rsidRPr="00514851">
        <w:t>Operating</w:t>
      </w:r>
      <w:r>
        <w:t>’</w:t>
      </w:r>
      <w:r w:rsidRPr="00514851">
        <w:t xml:space="preserve"> is driven </w:t>
      </w:r>
      <w:r w:rsidR="00A160E3">
        <w:t>by a national benchmark (NB) per student credit hour</w:t>
      </w:r>
      <w:r w:rsidRPr="00466D1E">
        <w:t xml:space="preserve">. </w:t>
      </w:r>
      <w:r>
        <w:t>‘</w:t>
      </w:r>
      <w:r w:rsidRPr="00466D1E">
        <w:t xml:space="preserve">Academic </w:t>
      </w:r>
      <w:r>
        <w:t>Student Support’ provides funding for all other professional and classified staff, as well as additional operational costs, and is determined by student majors.</w:t>
      </w:r>
      <w:r w:rsidR="00985C48">
        <w:t xml:space="preserve"> Units that fall under Academic Affairs division but do not generate student credit hours and do not fall under a specific college will be calculated utilizing the Administrative formula.</w:t>
      </w:r>
    </w:p>
    <w:p w:rsidR="0074725A" w:rsidRPr="008A66D2" w:rsidRDefault="0074725A" w:rsidP="00381003">
      <w:pPr>
        <w:spacing w:after="0" w:line="276" w:lineRule="auto"/>
        <w:rPr>
          <w:b/>
          <w:sz w:val="24"/>
        </w:rPr>
      </w:pPr>
      <w:r w:rsidRPr="008A66D2">
        <w:rPr>
          <w:b/>
          <w:sz w:val="24"/>
        </w:rPr>
        <w:t>General Formula:</w:t>
      </w:r>
    </w:p>
    <w:p w:rsidR="0074725A" w:rsidRPr="000776B2" w:rsidRDefault="0074725A" w:rsidP="00381003">
      <w:pPr>
        <w:spacing w:line="276" w:lineRule="auto"/>
      </w:pPr>
      <m:oMathPara>
        <m:oMathParaPr>
          <m:jc m:val="left"/>
        </m:oMathParaPr>
        <m:oMath>
          <m:r>
            <w:rPr>
              <w:rFonts w:ascii="Cambria Math" w:hAnsi="Cambria Math"/>
            </w:rPr>
            <m:t>Total Allocation=Instructional Salaries+Academic Student Support+Operating</m:t>
          </m:r>
        </m:oMath>
      </m:oMathPara>
    </w:p>
    <w:p w:rsidR="00F40E9F" w:rsidRPr="000776B2" w:rsidRDefault="00F40E9F" w:rsidP="00381003">
      <w:pPr>
        <w:spacing w:line="276" w:lineRule="auto"/>
        <w:ind w:left="360"/>
        <w:rPr>
          <w:rFonts w:eastAsiaTheme="minorEastAsia"/>
        </w:rPr>
      </w:pPr>
      <m:oMathPara>
        <m:oMathParaPr>
          <m:jc m:val="left"/>
        </m:oMathParaPr>
        <m:oMath>
          <m:r>
            <w:rPr>
              <w:rFonts w:ascii="Cambria Math" w:hAnsi="Cambria Math"/>
            </w:rPr>
            <m:t xml:space="preserve">TT Instructional Salaries=Modeled TT Instructional FTE×Average Departmental TT Instructional Salary  </m:t>
          </m:r>
        </m:oMath>
      </m:oMathPara>
    </w:p>
    <w:p w:rsidR="0074725A" w:rsidRPr="000776B2" w:rsidRDefault="00F40E9F" w:rsidP="00381003">
      <w:pPr>
        <w:spacing w:line="276" w:lineRule="auto"/>
        <w:ind w:left="360"/>
        <w:rPr>
          <w:rFonts w:eastAsiaTheme="minorEastAsia"/>
        </w:rPr>
      </w:pPr>
      <m:oMathPara>
        <m:oMathParaPr>
          <m:jc m:val="left"/>
        </m:oMathParaPr>
        <m:oMath>
          <m:r>
            <w:rPr>
              <w:rFonts w:ascii="Cambria Math" w:hAnsi="Cambria Math"/>
            </w:rPr>
            <m:t xml:space="preserve">Other Instructional Salaries=Modeled Other Instruction FTE x 80% of OSU Benchmark for Other Instuctional Salaries        </m:t>
          </m:r>
        </m:oMath>
      </m:oMathPara>
    </w:p>
    <w:p w:rsidR="0074725A" w:rsidRPr="000776B2" w:rsidRDefault="0074725A" w:rsidP="00381003">
      <w:pPr>
        <w:spacing w:line="276" w:lineRule="auto"/>
        <w:ind w:left="360"/>
        <w:rPr>
          <w:rFonts w:eastAsiaTheme="minorEastAsia"/>
        </w:rPr>
      </w:pPr>
      <m:oMathPara>
        <m:oMathParaPr>
          <m:jc m:val="left"/>
        </m:oMathParaPr>
        <m:oMath>
          <m:r>
            <w:rPr>
              <w:rFonts w:ascii="Cambria Math" w:eastAsiaTheme="minorEastAsia" w:hAnsi="Cambria Math"/>
            </w:rPr>
            <m:t>Operating=Forecasted SCH x Delaware Operating Cost per SCH</m:t>
          </m:r>
        </m:oMath>
      </m:oMathPara>
    </w:p>
    <w:p w:rsidR="0074725A" w:rsidRPr="000776B2" w:rsidRDefault="0074725A" w:rsidP="00381003">
      <w:pPr>
        <w:spacing w:line="276" w:lineRule="auto"/>
        <w:ind w:left="360"/>
        <w:rPr>
          <w:rFonts w:eastAsiaTheme="minorEastAsia"/>
        </w:rPr>
      </w:pPr>
      <m:oMathPara>
        <m:oMathParaPr>
          <m:jc m:val="left"/>
        </m:oMathParaPr>
        <m:oMath>
          <m:r>
            <w:rPr>
              <w:rFonts w:ascii="Cambria Math" w:eastAsiaTheme="minorEastAsia" w:hAnsi="Cambria Math"/>
            </w:rPr>
            <m:t>Academic Student Support=Total Majors×Support Cost per Major</m:t>
          </m:r>
        </m:oMath>
      </m:oMathPara>
    </w:p>
    <w:p w:rsidR="00F40E9F" w:rsidRPr="000776B2" w:rsidRDefault="0074725A" w:rsidP="00985C48">
      <w:pPr>
        <w:spacing w:after="0" w:line="276" w:lineRule="auto"/>
        <w:ind w:left="720"/>
        <w:rPr>
          <w:rFonts w:eastAsiaTheme="minorEastAsia"/>
          <w:sz w:val="24"/>
          <w:szCs w:val="24"/>
        </w:rPr>
      </w:pPr>
      <m:oMathPara>
        <m:oMathParaPr>
          <m:jc m:val="left"/>
        </m:oMathParaPr>
        <m:oMath>
          <m:r>
            <w:rPr>
              <w:rFonts w:ascii="Cambria Math" w:eastAsiaTheme="minorEastAsia" w:hAnsi="Cambria Math"/>
              <w:sz w:val="24"/>
              <w:szCs w:val="24"/>
            </w:rPr>
            <m:t>Modeled TT Instructional FTE  =</m:t>
          </m:r>
          <m:f>
            <m:fPr>
              <m:ctrlPr>
                <w:rPr>
                  <w:rFonts w:ascii="Cambria Math" w:eastAsiaTheme="minorEastAsia" w:hAnsi="Cambria Math"/>
                  <w:i/>
                  <w:sz w:val="24"/>
                  <w:szCs w:val="24"/>
                </w:rPr>
              </m:ctrlPr>
            </m:fPr>
            <m:num>
              <m:r>
                <w:rPr>
                  <w:rFonts w:ascii="Cambria Math" w:eastAsiaTheme="minorEastAsia" w:hAnsi="Cambria Math"/>
                  <w:sz w:val="24"/>
                  <w:szCs w:val="24"/>
                </w:rPr>
                <m:t>Forecasted SCH by TT faculty</m:t>
              </m:r>
            </m:num>
            <m:den>
              <m:r>
                <w:rPr>
                  <w:rFonts w:ascii="Cambria Math" w:eastAsiaTheme="minorEastAsia" w:hAnsi="Cambria Math"/>
                  <w:sz w:val="24"/>
                  <w:szCs w:val="24"/>
                </w:rPr>
                <m:t>Benchmark SCH per TT faculty</m:t>
              </m:r>
            </m:den>
          </m:f>
        </m:oMath>
      </m:oMathPara>
    </w:p>
    <w:p w:rsidR="00F40E9F" w:rsidRPr="000776B2" w:rsidRDefault="00F40E9F" w:rsidP="00985C48">
      <w:pPr>
        <w:spacing w:after="0" w:line="276" w:lineRule="auto"/>
        <w:ind w:left="720"/>
        <w:rPr>
          <w:rFonts w:eastAsiaTheme="minorEastAsia"/>
          <w:sz w:val="24"/>
          <w:szCs w:val="24"/>
        </w:rPr>
      </w:pPr>
      <m:oMathPara>
        <m:oMathParaPr>
          <m:jc m:val="left"/>
        </m:oMathParaPr>
        <m:oMath>
          <m:r>
            <w:rPr>
              <w:rFonts w:ascii="Cambria Math" w:eastAsiaTheme="minorEastAsia" w:hAnsi="Cambria Math"/>
              <w:sz w:val="24"/>
              <w:szCs w:val="24"/>
            </w:rPr>
            <m:t xml:space="preserve">Modeled Other Instructional FTE= </m:t>
          </m:r>
          <m:f>
            <m:fPr>
              <m:ctrlPr>
                <w:rPr>
                  <w:rFonts w:ascii="Cambria Math" w:eastAsiaTheme="minorEastAsia" w:hAnsi="Cambria Math"/>
                  <w:i/>
                  <w:sz w:val="24"/>
                  <w:szCs w:val="24"/>
                </w:rPr>
              </m:ctrlPr>
            </m:fPr>
            <m:num>
              <m:eqArr>
                <m:eqArrPr>
                  <m:ctrlPr>
                    <w:rPr>
                      <w:rFonts w:ascii="Cambria Math" w:eastAsiaTheme="minorEastAsia" w:hAnsi="Cambria Math"/>
                      <w:i/>
                      <w:sz w:val="24"/>
                      <w:szCs w:val="24"/>
                    </w:rPr>
                  </m:ctrlPr>
                </m:eqArrPr>
                <m:e/>
                <m:e>
                  <m:r>
                    <w:rPr>
                      <w:rFonts w:ascii="Cambria Math" w:eastAsiaTheme="minorEastAsia" w:hAnsi="Cambria Math"/>
                      <w:sz w:val="24"/>
                      <w:szCs w:val="24"/>
                    </w:rPr>
                    <m:t>Forecasted SCH by Other Instr</m:t>
                  </m:r>
                </m:e>
              </m:eqArr>
            </m:num>
            <m:den>
              <m:r>
                <w:rPr>
                  <w:rFonts w:ascii="Cambria Math" w:eastAsiaTheme="minorEastAsia" w:hAnsi="Cambria Math"/>
                  <w:sz w:val="24"/>
                  <w:szCs w:val="24"/>
                </w:rPr>
                <m:t>Benchmark SCH per Other Instr</m:t>
              </m:r>
            </m:den>
          </m:f>
        </m:oMath>
      </m:oMathPara>
    </w:p>
    <w:p w:rsidR="00F40E9F" w:rsidRPr="00F40E9F" w:rsidRDefault="00F40E9F" w:rsidP="00985C48">
      <w:pPr>
        <w:spacing w:after="0" w:line="276" w:lineRule="auto"/>
        <w:ind w:left="720"/>
        <w:rPr>
          <w:rFonts w:eastAsiaTheme="minorEastAsia"/>
          <w:sz w:val="24"/>
          <w:szCs w:val="24"/>
        </w:rPr>
      </w:pPr>
    </w:p>
    <w:p w:rsidR="0074725A" w:rsidRPr="00B10561" w:rsidRDefault="0074725A" w:rsidP="00985C48">
      <w:pPr>
        <w:spacing w:after="0" w:line="240" w:lineRule="auto"/>
        <w:rPr>
          <w:b/>
          <w:sz w:val="28"/>
          <w:szCs w:val="28"/>
        </w:rPr>
      </w:pPr>
      <w:r w:rsidRPr="00B10561">
        <w:rPr>
          <w:b/>
          <w:sz w:val="28"/>
          <w:szCs w:val="28"/>
        </w:rPr>
        <w:t>Administrative</w:t>
      </w:r>
    </w:p>
    <w:p w:rsidR="0074725A" w:rsidRPr="000630C1" w:rsidRDefault="0074725A" w:rsidP="00381003">
      <w:pPr>
        <w:spacing w:after="0" w:line="276" w:lineRule="auto"/>
        <w:rPr>
          <w:b/>
          <w:sz w:val="24"/>
        </w:rPr>
      </w:pPr>
      <w:r w:rsidRPr="000630C1">
        <w:rPr>
          <w:b/>
          <w:sz w:val="24"/>
        </w:rPr>
        <w:t>Summary:</w:t>
      </w:r>
    </w:p>
    <w:p w:rsidR="0074725A" w:rsidRPr="00C45FC3" w:rsidRDefault="0074725A" w:rsidP="00381003">
      <w:pPr>
        <w:spacing w:line="276" w:lineRule="auto"/>
      </w:pPr>
      <w:r>
        <w:t xml:space="preserve">The total allocation is composed of three components: Salaries, Operating, and </w:t>
      </w:r>
      <w:r w:rsidRPr="00B47A92">
        <w:t xml:space="preserve">Admin </w:t>
      </w:r>
      <w:r>
        <w:t xml:space="preserve">Student Support. ‘Salaries’ are the total Budgeted Salaries for all non-vacant positions by </w:t>
      </w:r>
      <w:r w:rsidR="00803FE4">
        <w:t>salary level</w:t>
      </w:r>
      <w:r>
        <w:t xml:space="preserve">. ‘Operating’ is driven by a Calculated Employee FTE, which is calculated by dividing the Budgeted Salaries by the average full-time salary, by </w:t>
      </w:r>
      <w:r w:rsidR="00AC4747">
        <w:t>salary level</w:t>
      </w:r>
      <w:r>
        <w:t xml:space="preserve">. Calculating ‘Operating’ by </w:t>
      </w:r>
      <w:r w:rsidR="00AC4747">
        <w:t>salary level</w:t>
      </w:r>
      <w:r>
        <w:t xml:space="preserve"> will account for the additional costs related to travel and supplies necessary for units with </w:t>
      </w:r>
      <w:r w:rsidR="00AC4747">
        <w:t xml:space="preserve">higher </w:t>
      </w:r>
      <w:r w:rsidR="00C73656">
        <w:t xml:space="preserve">salary </w:t>
      </w:r>
      <w:r w:rsidR="007D1852">
        <w:t>level</w:t>
      </w:r>
      <w:r>
        <w:t xml:space="preserve"> employees. ‘</w:t>
      </w:r>
      <w:r w:rsidRPr="00B47A92">
        <w:t xml:space="preserve">Admin </w:t>
      </w:r>
      <w:r>
        <w:t>Student Support’ is a component to provide supplementary support for units that are affected by fluctuations in the student population that can be utilized for additional staff or operational costs and is driven by student headcount growth.</w:t>
      </w:r>
    </w:p>
    <w:p w:rsidR="00AA6959" w:rsidRDefault="00AA6959" w:rsidP="00381003">
      <w:pPr>
        <w:spacing w:after="0" w:line="276" w:lineRule="auto"/>
        <w:rPr>
          <w:b/>
          <w:sz w:val="24"/>
        </w:rPr>
      </w:pPr>
    </w:p>
    <w:p w:rsidR="0074725A" w:rsidRPr="008A66D2" w:rsidRDefault="0074725A" w:rsidP="00381003">
      <w:pPr>
        <w:spacing w:after="0" w:line="276" w:lineRule="auto"/>
        <w:rPr>
          <w:b/>
          <w:sz w:val="24"/>
        </w:rPr>
      </w:pPr>
      <w:r w:rsidRPr="008A66D2">
        <w:rPr>
          <w:b/>
          <w:sz w:val="24"/>
        </w:rPr>
        <w:lastRenderedPageBreak/>
        <w:t>General Formula:</w:t>
      </w:r>
    </w:p>
    <w:p w:rsidR="0074725A" w:rsidRPr="00F55028" w:rsidRDefault="0074725A" w:rsidP="00381003">
      <w:pPr>
        <w:spacing w:line="276" w:lineRule="auto"/>
      </w:pPr>
      <m:oMathPara>
        <m:oMathParaPr>
          <m:jc m:val="left"/>
        </m:oMathParaPr>
        <m:oMath>
          <m:r>
            <w:rPr>
              <w:rFonts w:ascii="Cambria Math" w:hAnsi="Cambria Math"/>
            </w:rPr>
            <m:t>Total Allocation=Salaries+Admin Student Support+Operating</m:t>
          </m:r>
        </m:oMath>
      </m:oMathPara>
    </w:p>
    <w:p w:rsidR="0074725A" w:rsidRPr="00F55028" w:rsidRDefault="0074725A" w:rsidP="00381003">
      <w:pPr>
        <w:spacing w:line="276" w:lineRule="auto"/>
        <w:ind w:left="360"/>
        <w:rPr>
          <w:rFonts w:eastAsiaTheme="minorEastAsia"/>
        </w:rPr>
      </w:pPr>
      <m:oMathPara>
        <m:oMathParaPr>
          <m:jc m:val="left"/>
        </m:oMathParaPr>
        <m:oMath>
          <m:r>
            <w:rPr>
              <w:rFonts w:ascii="Cambria Math" w:hAnsi="Cambria Math"/>
            </w:rPr>
            <m:t>Salaries=</m:t>
          </m:r>
          <m:r>
            <w:rPr>
              <w:rFonts w:ascii="Cambria Math" w:eastAsiaTheme="minorEastAsia" w:hAnsi="Cambria Math"/>
            </w:rPr>
            <m:t>Professional Salaries+Classified Salaries+Administrator Salaries</m:t>
          </m:r>
        </m:oMath>
      </m:oMathPara>
    </w:p>
    <w:p w:rsidR="0074725A" w:rsidRPr="00C45FC3" w:rsidRDefault="0074725A" w:rsidP="00381003">
      <w:pPr>
        <w:spacing w:line="276" w:lineRule="auto"/>
        <w:ind w:left="360"/>
        <w:rPr>
          <w:rFonts w:eastAsiaTheme="minorEastAsia"/>
        </w:rPr>
      </w:pPr>
      <m:oMathPara>
        <m:oMathParaPr>
          <m:jc m:val="left"/>
        </m:oMathParaPr>
        <m:oMath>
          <m:r>
            <w:rPr>
              <w:rFonts w:ascii="Cambria Math" w:eastAsiaTheme="minorEastAsia" w:hAnsi="Cambria Math"/>
            </w:rPr>
            <m:t>Operating=</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Budgeted Salaries</m:t>
                  </m:r>
                </m:num>
                <m:den>
                  <m:r>
                    <w:rPr>
                      <w:rFonts w:ascii="Cambria Math" w:eastAsiaTheme="minorEastAsia" w:hAnsi="Cambria Math"/>
                    </w:rPr>
                    <m:t>Average Salary</m:t>
                  </m:r>
                </m:den>
              </m:f>
            </m:e>
          </m:d>
          <m:r>
            <w:rPr>
              <w:rFonts w:ascii="Cambria Math" w:eastAsiaTheme="minorEastAsia" w:hAnsi="Cambria Math"/>
            </w:rPr>
            <m:t>×Weighted Operating Cost per Employee FTE</m:t>
          </m:r>
        </m:oMath>
      </m:oMathPara>
    </w:p>
    <w:p w:rsidR="0074725A" w:rsidRPr="00C45FC3" w:rsidRDefault="0074725A" w:rsidP="00381003">
      <w:pPr>
        <w:spacing w:before="240" w:line="276" w:lineRule="auto"/>
        <w:ind w:left="360"/>
        <w:rPr>
          <w:rFonts w:eastAsiaTheme="minorEastAsia"/>
        </w:rPr>
      </w:pPr>
      <m:oMathPara>
        <m:oMathParaPr>
          <m:jc m:val="left"/>
        </m:oMathParaPr>
        <m:oMath>
          <m:r>
            <w:rPr>
              <w:rFonts w:ascii="Cambria Math" w:eastAsiaTheme="minorEastAsia" w:hAnsi="Cambria Math"/>
            </w:rPr>
            <m:t>Admin Student Support=</m:t>
          </m:r>
          <m:d>
            <m:dPr>
              <m:ctrlPr>
                <w:rPr>
                  <w:rFonts w:ascii="Cambria Math" w:eastAsiaTheme="minorEastAsia" w:hAnsi="Cambria Math"/>
                  <w:i/>
                </w:rPr>
              </m:ctrlPr>
            </m:dPr>
            <m:e>
              <m:r>
                <w:rPr>
                  <w:rFonts w:ascii="Cambria Math" w:eastAsiaTheme="minorEastAsia" w:hAnsi="Cambria Math"/>
                </w:rPr>
                <m:t>Current Student Headcount-3 yr Avg Student Headcount</m:t>
              </m:r>
            </m:e>
          </m:d>
          <m:r>
            <w:rPr>
              <w:rFonts w:ascii="Cambria Math" w:eastAsiaTheme="minorEastAsia" w:hAnsi="Cambria Math"/>
            </w:rPr>
            <m:t>×Support Cost per Headcount</m:t>
          </m:r>
        </m:oMath>
      </m:oMathPara>
    </w:p>
    <w:p w:rsidR="00F55028" w:rsidRPr="00B10561" w:rsidRDefault="00F55028" w:rsidP="00381003">
      <w:pPr>
        <w:spacing w:after="0" w:line="276" w:lineRule="auto"/>
        <w:rPr>
          <w:b/>
          <w:sz w:val="28"/>
          <w:szCs w:val="28"/>
        </w:rPr>
      </w:pPr>
      <w:r w:rsidRPr="00B10561">
        <w:rPr>
          <w:b/>
          <w:sz w:val="28"/>
          <w:szCs w:val="28"/>
        </w:rPr>
        <w:t>Facilities</w:t>
      </w:r>
    </w:p>
    <w:p w:rsidR="000C1E7C" w:rsidRDefault="000C1E7C" w:rsidP="00381003">
      <w:pPr>
        <w:spacing w:after="0" w:line="276" w:lineRule="auto"/>
        <w:rPr>
          <w:rFonts w:eastAsiaTheme="minorEastAsia"/>
          <w:b/>
          <w:sz w:val="24"/>
        </w:rPr>
      </w:pPr>
      <w:r>
        <w:rPr>
          <w:rFonts w:eastAsiaTheme="minorEastAsia"/>
          <w:b/>
          <w:sz w:val="24"/>
        </w:rPr>
        <w:t>Summary:</w:t>
      </w:r>
    </w:p>
    <w:p w:rsidR="000C1E7C" w:rsidRPr="008A66D2" w:rsidRDefault="00787693" w:rsidP="00381003">
      <w:pPr>
        <w:spacing w:line="276" w:lineRule="auto"/>
        <w:rPr>
          <w:b/>
          <w:sz w:val="32"/>
        </w:rPr>
      </w:pPr>
      <w:r>
        <w:rPr>
          <w:rFonts w:eastAsiaTheme="minorEastAsia"/>
        </w:rPr>
        <w:t xml:space="preserve">The Facilities </w:t>
      </w:r>
      <w:r w:rsidR="003D5673">
        <w:rPr>
          <w:rFonts w:eastAsiaTheme="minorEastAsia"/>
        </w:rPr>
        <w:t>Cost</w:t>
      </w:r>
      <w:r>
        <w:rPr>
          <w:rFonts w:eastAsiaTheme="minorEastAsia"/>
        </w:rPr>
        <w:t xml:space="preserve"> per </w:t>
      </w:r>
      <w:proofErr w:type="spellStart"/>
      <w:r>
        <w:rPr>
          <w:rFonts w:eastAsiaTheme="minorEastAsia"/>
        </w:rPr>
        <w:t>Sq</w:t>
      </w:r>
      <w:proofErr w:type="spellEnd"/>
      <w:r>
        <w:rPr>
          <w:rFonts w:eastAsiaTheme="minorEastAsia"/>
        </w:rPr>
        <w:t xml:space="preserve"> Ft </w:t>
      </w:r>
      <w:r w:rsidR="00486170">
        <w:rPr>
          <w:rFonts w:eastAsiaTheme="minorEastAsia"/>
        </w:rPr>
        <w:t xml:space="preserve">is calculated </w:t>
      </w:r>
      <w:r>
        <w:rPr>
          <w:rFonts w:eastAsiaTheme="minorEastAsia"/>
        </w:rPr>
        <w:t xml:space="preserve">by </w:t>
      </w:r>
      <w:r w:rsidR="00486170">
        <w:rPr>
          <w:rFonts w:eastAsiaTheme="minorEastAsia"/>
        </w:rPr>
        <w:t xml:space="preserve">using 80% of </w:t>
      </w:r>
      <w:r>
        <w:rPr>
          <w:rFonts w:eastAsiaTheme="minorEastAsia"/>
        </w:rPr>
        <w:t xml:space="preserve">Association of Physical Plant Administrators (APPA) </w:t>
      </w:r>
      <w:r w:rsidR="00486170">
        <w:rPr>
          <w:rFonts w:eastAsiaTheme="minorEastAsia"/>
        </w:rPr>
        <w:t>very high research benchmark</w:t>
      </w:r>
      <w:r>
        <w:rPr>
          <w:rFonts w:eastAsiaTheme="minorEastAsia"/>
        </w:rPr>
        <w:t xml:space="preserve">. </w:t>
      </w:r>
      <w:r w:rsidR="00FC137C">
        <w:rPr>
          <w:rFonts w:eastAsiaTheme="minorEastAsia"/>
        </w:rPr>
        <w:t xml:space="preserve">The initial step to determine the </w:t>
      </w:r>
      <w:r w:rsidR="00FA23BF">
        <w:rPr>
          <w:rFonts w:eastAsiaTheme="minorEastAsia"/>
        </w:rPr>
        <w:t xml:space="preserve">Total </w:t>
      </w:r>
      <w:r w:rsidR="00FC137C">
        <w:rPr>
          <w:rFonts w:eastAsiaTheme="minorEastAsia"/>
        </w:rPr>
        <w:t xml:space="preserve">General Funded Building </w:t>
      </w:r>
      <w:proofErr w:type="spellStart"/>
      <w:r w:rsidR="00FC137C">
        <w:rPr>
          <w:rFonts w:eastAsiaTheme="minorEastAsia"/>
        </w:rPr>
        <w:t>Sq</w:t>
      </w:r>
      <w:proofErr w:type="spellEnd"/>
      <w:r w:rsidR="00FC137C">
        <w:rPr>
          <w:rFonts w:eastAsiaTheme="minorEastAsia"/>
        </w:rPr>
        <w:t xml:space="preserve"> Ft will be time consuming, but once established, changes can be </w:t>
      </w:r>
      <w:r w:rsidR="00A30154">
        <w:rPr>
          <w:rFonts w:eastAsiaTheme="minorEastAsia"/>
        </w:rPr>
        <w:t>updated on an annual basis</w:t>
      </w:r>
      <w:r w:rsidR="002927BB">
        <w:rPr>
          <w:rFonts w:eastAsiaTheme="minorEastAsia"/>
        </w:rPr>
        <w:t xml:space="preserve">. </w:t>
      </w:r>
    </w:p>
    <w:p w:rsidR="00F55028" w:rsidRDefault="00F55028" w:rsidP="00381003">
      <w:pPr>
        <w:spacing w:after="0" w:line="276" w:lineRule="auto"/>
        <w:rPr>
          <w:rFonts w:eastAsiaTheme="minorEastAsia"/>
          <w:b/>
          <w:sz w:val="24"/>
        </w:rPr>
      </w:pPr>
      <w:r w:rsidRPr="008A66D2">
        <w:rPr>
          <w:rFonts w:eastAsiaTheme="minorEastAsia"/>
          <w:b/>
          <w:sz w:val="24"/>
        </w:rPr>
        <w:t>General Formula:</w:t>
      </w:r>
    </w:p>
    <w:p w:rsidR="00A30154" w:rsidRPr="00A30154" w:rsidRDefault="00F55028" w:rsidP="00381003">
      <w:pPr>
        <w:spacing w:line="276" w:lineRule="auto"/>
        <w:rPr>
          <w:rFonts w:eastAsiaTheme="minorEastAsia"/>
        </w:rPr>
      </w:pPr>
      <m:oMathPara>
        <m:oMathParaPr>
          <m:jc m:val="left"/>
        </m:oMathParaPr>
        <m:oMath>
          <m:r>
            <w:rPr>
              <w:rFonts w:ascii="Cambria Math" w:hAnsi="Cambria Math"/>
            </w:rPr>
            <m:t>Total Allocation=80% of APPA Cost per Sq Ft ×Total General Funded Building Sq Ft</m:t>
          </m:r>
        </m:oMath>
      </m:oMathPara>
    </w:p>
    <w:p w:rsidR="00E67B71" w:rsidRPr="00B10561" w:rsidRDefault="00E67B71" w:rsidP="00381003">
      <w:pPr>
        <w:spacing w:after="0" w:line="276" w:lineRule="auto"/>
        <w:rPr>
          <w:b/>
          <w:sz w:val="28"/>
          <w:szCs w:val="28"/>
        </w:rPr>
      </w:pPr>
      <w:r w:rsidRPr="00B10561">
        <w:rPr>
          <w:b/>
          <w:sz w:val="28"/>
          <w:szCs w:val="28"/>
        </w:rPr>
        <w:t>Institutional Costs</w:t>
      </w:r>
    </w:p>
    <w:p w:rsidR="00E67B71" w:rsidRPr="00466D1E" w:rsidRDefault="00E67B71" w:rsidP="00381003">
      <w:pPr>
        <w:spacing w:line="276" w:lineRule="auto"/>
        <w:rPr>
          <w:rFonts w:eastAsiaTheme="minorEastAsia"/>
        </w:rPr>
      </w:pPr>
      <w:r w:rsidRPr="00466D1E">
        <w:rPr>
          <w:rFonts w:eastAsiaTheme="minorEastAsia"/>
        </w:rPr>
        <w:t xml:space="preserve">Institutional Costs are required costs that must be paid prior to any budget model allocation, and are determined on an annual basis. This includes utilities, insurance costs, credit card costs, litigation costs, institutional membership costs, warrant writing costs, service bureau costs, audit costs, bad debt expenses, off campus rent, library acquisitions, IT software &amp; hardware costs, promotion/market/merit pools, pay plan pools, convocation, and graduation. </w:t>
      </w:r>
    </w:p>
    <w:p w:rsidR="006444EC" w:rsidRPr="00B10561" w:rsidRDefault="006444EC" w:rsidP="00381003">
      <w:pPr>
        <w:spacing w:after="0" w:line="276" w:lineRule="auto"/>
        <w:rPr>
          <w:b/>
          <w:sz w:val="28"/>
          <w:szCs w:val="28"/>
        </w:rPr>
      </w:pPr>
      <w:r w:rsidRPr="00B10561">
        <w:rPr>
          <w:b/>
          <w:sz w:val="28"/>
          <w:szCs w:val="28"/>
        </w:rPr>
        <w:t>Strategic Pools</w:t>
      </w:r>
    </w:p>
    <w:p w:rsidR="00E67B71" w:rsidRDefault="002814D4" w:rsidP="00381003">
      <w:pPr>
        <w:spacing w:after="0" w:line="276" w:lineRule="auto"/>
        <w:rPr>
          <w:rFonts w:eastAsiaTheme="minorEastAsia"/>
        </w:rPr>
      </w:pPr>
      <w:r>
        <w:rPr>
          <w:rFonts w:eastAsiaTheme="minorEastAsia"/>
        </w:rPr>
        <w:t>The Strategic Pools would provide funding for i</w:t>
      </w:r>
      <w:r w:rsidR="006444EC">
        <w:rPr>
          <w:rFonts w:eastAsiaTheme="minorEastAsia"/>
        </w:rPr>
        <w:t>nvestments that align with strategic plan, specifically priorities recommended by Planning Council. This could include incentive</w:t>
      </w:r>
      <w:bookmarkStart w:id="0" w:name="_GoBack"/>
      <w:bookmarkEnd w:id="0"/>
      <w:r w:rsidR="006444EC">
        <w:rPr>
          <w:rFonts w:eastAsiaTheme="minorEastAsia"/>
        </w:rPr>
        <w:t xml:space="preserve"> pools, performance funding,</w:t>
      </w:r>
      <w:r>
        <w:rPr>
          <w:rFonts w:eastAsiaTheme="minorEastAsia"/>
        </w:rPr>
        <w:t xml:space="preserve"> and</w:t>
      </w:r>
      <w:r w:rsidR="006444EC">
        <w:rPr>
          <w:rFonts w:eastAsiaTheme="minorEastAsia"/>
        </w:rPr>
        <w:t xml:space="preserve"> other institutional </w:t>
      </w:r>
      <w:r>
        <w:rPr>
          <w:rFonts w:eastAsiaTheme="minorEastAsia"/>
        </w:rPr>
        <w:t xml:space="preserve">priorities. </w:t>
      </w:r>
    </w:p>
    <w:p w:rsidR="000B3BD6" w:rsidRDefault="000B3BD6" w:rsidP="00381003">
      <w:pPr>
        <w:spacing w:after="0" w:line="276" w:lineRule="auto"/>
        <w:rPr>
          <w:rFonts w:eastAsiaTheme="minorEastAsia"/>
        </w:rPr>
      </w:pPr>
    </w:p>
    <w:p w:rsidR="000B3BD6" w:rsidRDefault="000B3BD6" w:rsidP="00381003">
      <w:pPr>
        <w:spacing w:after="0" w:line="276" w:lineRule="auto"/>
        <w:rPr>
          <w:rFonts w:eastAsiaTheme="minorEastAsia"/>
        </w:rPr>
      </w:pPr>
    </w:p>
    <w:sectPr w:rsidR="000B3BD6" w:rsidSect="00F27C62">
      <w:headerReference w:type="default" r:id="rId7"/>
      <w:footerReference w:type="default" r:id="rId8"/>
      <w:pgSz w:w="15840" w:h="12240" w:orient="landscape"/>
      <w:pgMar w:top="576" w:right="720" w:bottom="720" w:left="720" w:header="100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ABE" w:rsidRDefault="002C6ABE" w:rsidP="002C6ABE">
      <w:pPr>
        <w:spacing w:after="0" w:line="240" w:lineRule="auto"/>
      </w:pPr>
      <w:r>
        <w:separator/>
      </w:r>
    </w:p>
  </w:endnote>
  <w:endnote w:type="continuationSeparator" w:id="0">
    <w:p w:rsidR="002C6ABE" w:rsidRDefault="002C6ABE" w:rsidP="002C6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ABE" w:rsidRDefault="00F27C62">
    <w:pPr>
      <w:pStyle w:val="Footer"/>
    </w:pPr>
    <w:r>
      <w:rPr>
        <w:noProof/>
        <w:color w:val="5B9BD5" w:themeColor="accent1"/>
      </w:rPr>
      <mc:AlternateContent>
        <mc:Choice Requires="wps">
          <w:drawing>
            <wp:anchor distT="91440" distB="91440" distL="114300" distR="114300" simplePos="0" relativeHeight="251663360" behindDoc="1" locked="0" layoutInCell="1" allowOverlap="1" wp14:anchorId="5B926F9E" wp14:editId="1BD0D61E">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17B46DCD" id="Rectangle 58" o:spid="_x0000_s1026" style="position:absolute;margin-left:0;margin-top:0;width:468pt;height:2.85pt;z-index:-25165312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" fillcolor="#5b9bd5 [3204]" stroked="f" strokeweight="1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ABE" w:rsidRDefault="002C6ABE" w:rsidP="002C6ABE">
      <w:pPr>
        <w:spacing w:after="0" w:line="240" w:lineRule="auto"/>
      </w:pPr>
      <w:r>
        <w:separator/>
      </w:r>
    </w:p>
  </w:footnote>
  <w:footnote w:type="continuationSeparator" w:id="0">
    <w:p w:rsidR="002C6ABE" w:rsidRDefault="002C6ABE" w:rsidP="002C6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ABE" w:rsidRDefault="00F27C62">
    <w:pPr>
      <w:pStyle w:val="Header"/>
    </w:pPr>
    <w:r>
      <w:rPr>
        <w:noProof/>
      </w:rPr>
      <mc:AlternateContent>
        <mc:Choice Requires="wps">
          <w:drawing>
            <wp:anchor distT="0" distB="0" distL="114300" distR="114300" simplePos="0" relativeHeight="251660288" behindDoc="0" locked="0" layoutInCell="0" allowOverlap="1" wp14:anchorId="66517F98" wp14:editId="5F98CCD3">
              <wp:simplePos x="0" y="0"/>
              <wp:positionH relativeFrom="margin">
                <wp:align>left</wp:align>
              </wp:positionH>
              <wp:positionV relativeFrom="topMargin">
                <wp:align>center</wp:align>
              </wp:positionV>
              <wp:extent cx="5943600" cy="170815"/>
              <wp:effectExtent l="0" t="0" r="0" b="1905"/>
              <wp:wrapNone/>
              <wp:docPr id="47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le"/>
                            <w:id w:val="1665968737"/>
                            <w:dataBinding w:prefixMappings="xmlns:ns0='http://schemas.openxmlformats.org/package/2006/metadata/core-properties' xmlns:ns1='http://purl.org/dc/elements/1.1/'" w:xpath="/ns0:coreProperties[1]/ns1:title[1]" w:storeItemID="{6C3C8BC8-F283-45AE-878A-BAB7291924A1}"/>
                            <w:text/>
                          </w:sdtPr>
                          <w:sdtEndPr/>
                          <w:sdtContent>
                            <w:p w:rsidR="00F27C62" w:rsidRDefault="00F27C62">
                              <w:pPr>
                                <w:spacing w:after="0" w:line="240" w:lineRule="auto"/>
                              </w:pPr>
                              <w:r>
                                <w:t>Summary of Budget Model Components</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6517F98" id="_x0000_t202" coordsize="21600,21600" o:spt="202" path="m,l,21600r21600,l21600,xe">
              <v:stroke joinstyle="miter"/>
              <v:path gradientshapeok="t" o:connecttype="rect"/>
            </v:shapetype>
            <v:shape id="Text Box 473"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" o:allowincell="f" filled="f" stroked="f">
              <v:textbox style="mso-fit-shape-to-text:t" inset=",0,,0">
                <w:txbxContent>
                  <w:sdt>
                    <w:sdtPr>
                      <w:alias w:val="Title"/>
                      <w:id w:val="1665968737"/>
                      <w:dataBinding w:prefixMappings="xmlns:ns0='http://schemas.openxmlformats.org/package/2006/metadata/core-properties' xmlns:ns1='http://purl.org/dc/elements/1.1/'" w:xpath="/ns0:coreProperties[1]/ns1:title[1]" w:storeItemID="{6C3C8BC8-F283-45AE-878A-BAB7291924A1}"/>
                      <w:text/>
                    </w:sdtPr>
                    <w:sdtEndPr/>
                    <w:sdtContent>
                      <w:p w:rsidR="00F27C62" w:rsidRDefault="00F27C62">
                        <w:pPr>
                          <w:spacing w:after="0" w:line="240" w:lineRule="auto"/>
                        </w:pPr>
                        <w:r>
                          <w:t>Summary of Budget Model Components</w:t>
                        </w:r>
                      </w:p>
                    </w:sdtContent>
                  </w:sdt>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03F695FE" wp14:editId="25E4F4DC">
              <wp:simplePos x="0" y="0"/>
              <wp:positionH relativeFrom="page">
                <wp:align>left</wp:align>
              </wp:positionH>
              <wp:positionV relativeFrom="topMargin">
                <wp:align>center</wp:align>
              </wp:positionV>
              <wp:extent cx="914400" cy="170815"/>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F27C62" w:rsidRDefault="00F27C62">
                          <w:pPr>
                            <w:spacing w:after="0" w:line="240" w:lineRule="auto"/>
                            <w:jc w:val="right"/>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AA6959" w:rsidRPr="00AA6959">
                            <w:rPr>
                              <w:noProof/>
                              <w:color w:val="FFFFFF" w:themeColor="background1"/>
                              <w14:numForm w14:val="lining"/>
                            </w:rPr>
                            <w:t>2</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3F695FE" id="Text Box 474"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dozUMP8BAADpAwAADgAAAAAAAAAAAAAA&#10;AAAuAgAAZHJzL2Uyb0RvYy54bWxQSwECLQAUAAYACAAAACEANGmBC9sAAAAEAQAADwAAAAAAAAAA&#10;AAAAAABZBAAAZHJzL2Rvd25yZXYueG1sUEsFBgAAAAAEAAQA8wAAAGEFAAAAAA==&#10;" o:allowincell="f" fillcolor="#5b9bd5 [3204]" stroked="f">
              <v:textbox style="mso-fit-shape-to-text:t" inset=",0,,0">
                <w:txbxContent>
                  <w:p w:rsidR="00F27C62" w:rsidRDefault="00F27C62">
                    <w:pPr>
                      <w:spacing w:after="0" w:line="240" w:lineRule="auto"/>
                      <w:jc w:val="right"/>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AA6959" w:rsidRPr="00AA6959">
                      <w:rPr>
                        <w:noProof/>
                        <w:color w:val="FFFFFF" w:themeColor="background1"/>
                        <w14:numForm w14:val="lining"/>
                      </w:rPr>
                      <w:t>2</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8D36A4"/>
    <w:multiLevelType w:val="hybridMultilevel"/>
    <w:tmpl w:val="E0BA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0E1A03"/>
    <w:multiLevelType w:val="hybridMultilevel"/>
    <w:tmpl w:val="4C72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CE3"/>
    <w:rsid w:val="000009AE"/>
    <w:rsid w:val="00033E68"/>
    <w:rsid w:val="00053C54"/>
    <w:rsid w:val="00055A61"/>
    <w:rsid w:val="000630C1"/>
    <w:rsid w:val="00065DAA"/>
    <w:rsid w:val="00073374"/>
    <w:rsid w:val="00073774"/>
    <w:rsid w:val="000776B2"/>
    <w:rsid w:val="00083BC1"/>
    <w:rsid w:val="000A4AF8"/>
    <w:rsid w:val="000B23A5"/>
    <w:rsid w:val="000B3BD6"/>
    <w:rsid w:val="000C0AFD"/>
    <w:rsid w:val="000C1E7C"/>
    <w:rsid w:val="000C2A56"/>
    <w:rsid w:val="000D1C5F"/>
    <w:rsid w:val="000E6568"/>
    <w:rsid w:val="000E6C84"/>
    <w:rsid w:val="000E7DE7"/>
    <w:rsid w:val="000F5542"/>
    <w:rsid w:val="00104C29"/>
    <w:rsid w:val="001223BD"/>
    <w:rsid w:val="00135295"/>
    <w:rsid w:val="00177BC1"/>
    <w:rsid w:val="00180EF6"/>
    <w:rsid w:val="001A0D30"/>
    <w:rsid w:val="001A3A12"/>
    <w:rsid w:val="001A4CD4"/>
    <w:rsid w:val="001B14B7"/>
    <w:rsid w:val="001B685B"/>
    <w:rsid w:val="001C3F2E"/>
    <w:rsid w:val="001E16DF"/>
    <w:rsid w:val="001E3F64"/>
    <w:rsid w:val="001F2EC0"/>
    <w:rsid w:val="0021293A"/>
    <w:rsid w:val="0021458B"/>
    <w:rsid w:val="00221A4C"/>
    <w:rsid w:val="00247188"/>
    <w:rsid w:val="00256897"/>
    <w:rsid w:val="00264C43"/>
    <w:rsid w:val="00270BF0"/>
    <w:rsid w:val="00280991"/>
    <w:rsid w:val="002814D4"/>
    <w:rsid w:val="002849C4"/>
    <w:rsid w:val="0028690D"/>
    <w:rsid w:val="002927BB"/>
    <w:rsid w:val="002941C9"/>
    <w:rsid w:val="00295210"/>
    <w:rsid w:val="00296579"/>
    <w:rsid w:val="002A6D6A"/>
    <w:rsid w:val="002B4B65"/>
    <w:rsid w:val="002B4C00"/>
    <w:rsid w:val="002B6D41"/>
    <w:rsid w:val="002C086F"/>
    <w:rsid w:val="002C150C"/>
    <w:rsid w:val="002C2BE4"/>
    <w:rsid w:val="002C6ABE"/>
    <w:rsid w:val="002D4AED"/>
    <w:rsid w:val="002E6AB1"/>
    <w:rsid w:val="002F0F8B"/>
    <w:rsid w:val="002F4B0B"/>
    <w:rsid w:val="003023B6"/>
    <w:rsid w:val="00305B10"/>
    <w:rsid w:val="00306D0E"/>
    <w:rsid w:val="00316B60"/>
    <w:rsid w:val="003203DF"/>
    <w:rsid w:val="00355813"/>
    <w:rsid w:val="0035742C"/>
    <w:rsid w:val="00371775"/>
    <w:rsid w:val="00381003"/>
    <w:rsid w:val="00391766"/>
    <w:rsid w:val="003966AD"/>
    <w:rsid w:val="003972A1"/>
    <w:rsid w:val="003A6D6D"/>
    <w:rsid w:val="003A72D1"/>
    <w:rsid w:val="003B5FAC"/>
    <w:rsid w:val="003B674F"/>
    <w:rsid w:val="003B6EC7"/>
    <w:rsid w:val="003C4B7B"/>
    <w:rsid w:val="003D24D4"/>
    <w:rsid w:val="003D5673"/>
    <w:rsid w:val="003F360E"/>
    <w:rsid w:val="003F787C"/>
    <w:rsid w:val="0040448B"/>
    <w:rsid w:val="00415556"/>
    <w:rsid w:val="004175A4"/>
    <w:rsid w:val="00425194"/>
    <w:rsid w:val="00426324"/>
    <w:rsid w:val="004324A2"/>
    <w:rsid w:val="004337B4"/>
    <w:rsid w:val="00460554"/>
    <w:rsid w:val="0046237F"/>
    <w:rsid w:val="00466D1E"/>
    <w:rsid w:val="0047220C"/>
    <w:rsid w:val="004741CC"/>
    <w:rsid w:val="00475C2E"/>
    <w:rsid w:val="00481E6A"/>
    <w:rsid w:val="00486170"/>
    <w:rsid w:val="0049245A"/>
    <w:rsid w:val="00494C67"/>
    <w:rsid w:val="004A08E9"/>
    <w:rsid w:val="004B7D66"/>
    <w:rsid w:val="004C6EE4"/>
    <w:rsid w:val="004D047F"/>
    <w:rsid w:val="004D77A3"/>
    <w:rsid w:val="0050024D"/>
    <w:rsid w:val="00514851"/>
    <w:rsid w:val="00537756"/>
    <w:rsid w:val="00542A27"/>
    <w:rsid w:val="0055204C"/>
    <w:rsid w:val="005638EF"/>
    <w:rsid w:val="00563D04"/>
    <w:rsid w:val="005660BA"/>
    <w:rsid w:val="00585301"/>
    <w:rsid w:val="005A704D"/>
    <w:rsid w:val="005B11C5"/>
    <w:rsid w:val="005B584F"/>
    <w:rsid w:val="005C594B"/>
    <w:rsid w:val="005D0A26"/>
    <w:rsid w:val="005D3459"/>
    <w:rsid w:val="005E0F22"/>
    <w:rsid w:val="005E37BC"/>
    <w:rsid w:val="00614547"/>
    <w:rsid w:val="006224C7"/>
    <w:rsid w:val="00632F47"/>
    <w:rsid w:val="00636B91"/>
    <w:rsid w:val="00643657"/>
    <w:rsid w:val="006444EC"/>
    <w:rsid w:val="00644B34"/>
    <w:rsid w:val="00663775"/>
    <w:rsid w:val="00696EA4"/>
    <w:rsid w:val="006B4C6B"/>
    <w:rsid w:val="006C6D87"/>
    <w:rsid w:val="006D4C3D"/>
    <w:rsid w:val="006D5B89"/>
    <w:rsid w:val="006D6CD3"/>
    <w:rsid w:val="006E3531"/>
    <w:rsid w:val="006E5FF2"/>
    <w:rsid w:val="006F1FC5"/>
    <w:rsid w:val="006F31DB"/>
    <w:rsid w:val="006F3DAA"/>
    <w:rsid w:val="006F5014"/>
    <w:rsid w:val="006F6208"/>
    <w:rsid w:val="007214B4"/>
    <w:rsid w:val="00722513"/>
    <w:rsid w:val="00723E17"/>
    <w:rsid w:val="00734668"/>
    <w:rsid w:val="007356C6"/>
    <w:rsid w:val="007360FE"/>
    <w:rsid w:val="007403A6"/>
    <w:rsid w:val="0074255C"/>
    <w:rsid w:val="0074725A"/>
    <w:rsid w:val="007610BC"/>
    <w:rsid w:val="0076589C"/>
    <w:rsid w:val="007736D7"/>
    <w:rsid w:val="0078260D"/>
    <w:rsid w:val="00785B0E"/>
    <w:rsid w:val="00787693"/>
    <w:rsid w:val="007A7847"/>
    <w:rsid w:val="007B21BA"/>
    <w:rsid w:val="007B31F4"/>
    <w:rsid w:val="007B40CD"/>
    <w:rsid w:val="007B6731"/>
    <w:rsid w:val="007C409A"/>
    <w:rsid w:val="007D1852"/>
    <w:rsid w:val="007E27EE"/>
    <w:rsid w:val="007F065A"/>
    <w:rsid w:val="008021B1"/>
    <w:rsid w:val="00803FE4"/>
    <w:rsid w:val="008121AC"/>
    <w:rsid w:val="0088110C"/>
    <w:rsid w:val="00895F94"/>
    <w:rsid w:val="008A13C9"/>
    <w:rsid w:val="008A2FC5"/>
    <w:rsid w:val="008A66D2"/>
    <w:rsid w:val="008A7B20"/>
    <w:rsid w:val="008D6E40"/>
    <w:rsid w:val="008E0615"/>
    <w:rsid w:val="008F36F4"/>
    <w:rsid w:val="008F6CB1"/>
    <w:rsid w:val="00902054"/>
    <w:rsid w:val="009114E9"/>
    <w:rsid w:val="00926544"/>
    <w:rsid w:val="00927835"/>
    <w:rsid w:val="00933D4C"/>
    <w:rsid w:val="009372C1"/>
    <w:rsid w:val="0094127F"/>
    <w:rsid w:val="00954C48"/>
    <w:rsid w:val="00967231"/>
    <w:rsid w:val="00985C48"/>
    <w:rsid w:val="0099792B"/>
    <w:rsid w:val="009A0053"/>
    <w:rsid w:val="009A01EE"/>
    <w:rsid w:val="009D339A"/>
    <w:rsid w:val="009E548C"/>
    <w:rsid w:val="009E57C8"/>
    <w:rsid w:val="009E5FE1"/>
    <w:rsid w:val="009F022E"/>
    <w:rsid w:val="009F1AC5"/>
    <w:rsid w:val="00A07F4A"/>
    <w:rsid w:val="00A137E5"/>
    <w:rsid w:val="00A160E3"/>
    <w:rsid w:val="00A24DF7"/>
    <w:rsid w:val="00A270BF"/>
    <w:rsid w:val="00A30154"/>
    <w:rsid w:val="00A51230"/>
    <w:rsid w:val="00A568D9"/>
    <w:rsid w:val="00A573B9"/>
    <w:rsid w:val="00A70CB6"/>
    <w:rsid w:val="00A77C6D"/>
    <w:rsid w:val="00A80B51"/>
    <w:rsid w:val="00A817F7"/>
    <w:rsid w:val="00A907FF"/>
    <w:rsid w:val="00A90B77"/>
    <w:rsid w:val="00A91C38"/>
    <w:rsid w:val="00A956D3"/>
    <w:rsid w:val="00A96A78"/>
    <w:rsid w:val="00AA6959"/>
    <w:rsid w:val="00AB3A09"/>
    <w:rsid w:val="00AC00CC"/>
    <w:rsid w:val="00AC4747"/>
    <w:rsid w:val="00AC4BB6"/>
    <w:rsid w:val="00AD353F"/>
    <w:rsid w:val="00AF012A"/>
    <w:rsid w:val="00AF21CF"/>
    <w:rsid w:val="00AF4DF5"/>
    <w:rsid w:val="00AF669E"/>
    <w:rsid w:val="00B035EE"/>
    <w:rsid w:val="00B10561"/>
    <w:rsid w:val="00B219C1"/>
    <w:rsid w:val="00B23558"/>
    <w:rsid w:val="00B2427E"/>
    <w:rsid w:val="00B33E06"/>
    <w:rsid w:val="00B37AD2"/>
    <w:rsid w:val="00B47A92"/>
    <w:rsid w:val="00B55391"/>
    <w:rsid w:val="00B6357E"/>
    <w:rsid w:val="00B73A6C"/>
    <w:rsid w:val="00B82194"/>
    <w:rsid w:val="00B86F29"/>
    <w:rsid w:val="00B92FCA"/>
    <w:rsid w:val="00B973DE"/>
    <w:rsid w:val="00BB22B3"/>
    <w:rsid w:val="00BE1CE3"/>
    <w:rsid w:val="00BF429F"/>
    <w:rsid w:val="00BF4C64"/>
    <w:rsid w:val="00C25D7C"/>
    <w:rsid w:val="00C3545B"/>
    <w:rsid w:val="00C45FC3"/>
    <w:rsid w:val="00C46F1F"/>
    <w:rsid w:val="00C63B96"/>
    <w:rsid w:val="00C6712E"/>
    <w:rsid w:val="00C7113F"/>
    <w:rsid w:val="00C73656"/>
    <w:rsid w:val="00C8684A"/>
    <w:rsid w:val="00C941E4"/>
    <w:rsid w:val="00CA4996"/>
    <w:rsid w:val="00CC66AD"/>
    <w:rsid w:val="00CD1170"/>
    <w:rsid w:val="00CD79A9"/>
    <w:rsid w:val="00CD7CBC"/>
    <w:rsid w:val="00CF0CD6"/>
    <w:rsid w:val="00D037A4"/>
    <w:rsid w:val="00D0405A"/>
    <w:rsid w:val="00D07701"/>
    <w:rsid w:val="00D56CC6"/>
    <w:rsid w:val="00D62693"/>
    <w:rsid w:val="00D8035B"/>
    <w:rsid w:val="00D806DD"/>
    <w:rsid w:val="00D80874"/>
    <w:rsid w:val="00D96677"/>
    <w:rsid w:val="00DA21E1"/>
    <w:rsid w:val="00DB3B13"/>
    <w:rsid w:val="00DE093C"/>
    <w:rsid w:val="00DF2A73"/>
    <w:rsid w:val="00E0117B"/>
    <w:rsid w:val="00E04D8B"/>
    <w:rsid w:val="00E248E8"/>
    <w:rsid w:val="00E31BB9"/>
    <w:rsid w:val="00E379EC"/>
    <w:rsid w:val="00E46CB2"/>
    <w:rsid w:val="00E47190"/>
    <w:rsid w:val="00E502DD"/>
    <w:rsid w:val="00E5705A"/>
    <w:rsid w:val="00E67B71"/>
    <w:rsid w:val="00E80EC0"/>
    <w:rsid w:val="00E9702B"/>
    <w:rsid w:val="00EA222F"/>
    <w:rsid w:val="00EA3529"/>
    <w:rsid w:val="00ED24DB"/>
    <w:rsid w:val="00EE199A"/>
    <w:rsid w:val="00EF0355"/>
    <w:rsid w:val="00EF3DE6"/>
    <w:rsid w:val="00F0322D"/>
    <w:rsid w:val="00F046C4"/>
    <w:rsid w:val="00F12249"/>
    <w:rsid w:val="00F1277F"/>
    <w:rsid w:val="00F14D97"/>
    <w:rsid w:val="00F16563"/>
    <w:rsid w:val="00F27C62"/>
    <w:rsid w:val="00F33E2B"/>
    <w:rsid w:val="00F359C9"/>
    <w:rsid w:val="00F367DD"/>
    <w:rsid w:val="00F40E9F"/>
    <w:rsid w:val="00F45DEC"/>
    <w:rsid w:val="00F51C6E"/>
    <w:rsid w:val="00F55028"/>
    <w:rsid w:val="00F72EF5"/>
    <w:rsid w:val="00F858FD"/>
    <w:rsid w:val="00F94D98"/>
    <w:rsid w:val="00F9620E"/>
    <w:rsid w:val="00FA23BF"/>
    <w:rsid w:val="00FB27AD"/>
    <w:rsid w:val="00FC137C"/>
    <w:rsid w:val="00FC29F1"/>
    <w:rsid w:val="00FD5A68"/>
    <w:rsid w:val="00FE0E16"/>
    <w:rsid w:val="00FE500E"/>
    <w:rsid w:val="00FE71D8"/>
    <w:rsid w:val="00FF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27ADBC"/>
  <w15:docId w15:val="{9D9A4869-6C2A-4BB0-8C47-79C38082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1CE3"/>
    <w:rPr>
      <w:color w:val="808080"/>
    </w:rPr>
  </w:style>
  <w:style w:type="paragraph" w:styleId="ListParagraph">
    <w:name w:val="List Paragraph"/>
    <w:basedOn w:val="Normal"/>
    <w:uiPriority w:val="34"/>
    <w:qFormat/>
    <w:rsid w:val="0046237F"/>
    <w:pPr>
      <w:ind w:left="720"/>
      <w:contextualSpacing/>
    </w:pPr>
  </w:style>
  <w:style w:type="paragraph" w:styleId="Header">
    <w:name w:val="header"/>
    <w:basedOn w:val="Normal"/>
    <w:link w:val="HeaderChar"/>
    <w:uiPriority w:val="99"/>
    <w:unhideWhenUsed/>
    <w:rsid w:val="002C6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ABE"/>
  </w:style>
  <w:style w:type="paragraph" w:styleId="Footer">
    <w:name w:val="footer"/>
    <w:basedOn w:val="Normal"/>
    <w:link w:val="FooterChar"/>
    <w:uiPriority w:val="99"/>
    <w:unhideWhenUsed/>
    <w:rsid w:val="002C6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ABE"/>
  </w:style>
  <w:style w:type="paragraph" w:styleId="BalloonText">
    <w:name w:val="Balloon Text"/>
    <w:basedOn w:val="Normal"/>
    <w:link w:val="BalloonTextChar"/>
    <w:uiPriority w:val="99"/>
    <w:semiHidden/>
    <w:unhideWhenUsed/>
    <w:rsid w:val="009D33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39A"/>
    <w:rPr>
      <w:rFonts w:ascii="Segoe UI" w:hAnsi="Segoe UI" w:cs="Segoe UI"/>
      <w:sz w:val="18"/>
      <w:szCs w:val="18"/>
    </w:rPr>
  </w:style>
  <w:style w:type="paragraph" w:customStyle="1" w:styleId="A0E349F008B644AAB6A282E0D042D17E">
    <w:name w:val="A0E349F008B644AAB6A282E0D042D17E"/>
    <w:rsid w:val="00F27C62"/>
    <w:pPr>
      <w:spacing w:after="200" w:line="276" w:lineRule="auto"/>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95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Summary of Budget Model Components</vt:lpstr>
    </vt:vector>
  </TitlesOfParts>
  <Company>Microsoft</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Budget Model Components</dc:title>
  <dc:creator>Sorenson, Mackenzie</dc:creator>
  <cp:lastModifiedBy>Attebury, Kathleen</cp:lastModifiedBy>
  <cp:revision>3</cp:revision>
  <cp:lastPrinted>2016-01-04T19:46:00Z</cp:lastPrinted>
  <dcterms:created xsi:type="dcterms:W3CDTF">2017-06-28T15:06:00Z</dcterms:created>
  <dcterms:modified xsi:type="dcterms:W3CDTF">2017-06-28T15:08:00Z</dcterms:modified>
</cp:coreProperties>
</file>