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D18E1">
        <w:trPr>
          <w:trHeight w:val="332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49B31D81" w:rsidR="00A87A27" w:rsidRPr="00E9662C" w:rsidRDefault="00AD18E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Spriochete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spiral-shaped bacteria.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4AC1EEDA" w:rsidR="00A87A27" w:rsidRPr="00E9662C" w:rsidRDefault="00AD18E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Causes Lyme disease, Lyme borreliosis, relapsing fever, Erythema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migrans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(EM) with polyarthritis, Lyme arthritis, Tickborne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meningopolyneuritis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0E6E4986" w:rsidR="00A87A27" w:rsidRPr="00C946D1" w:rsidRDefault="00AD18E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611CF823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>umans</w:t>
            </w:r>
            <w:r w:rsidR="00AD18E1">
              <w:rPr>
                <w:rFonts w:ascii="Calibri" w:eastAsia="Times New Roman" w:hAnsi="Calibri" w:cs="Times New Roman"/>
                <w:color w:val="000000"/>
              </w:rPr>
              <w:t>, equine, domestic fowl, domestic companion animals, deer, wild rodents</w:t>
            </w:r>
            <w:r w:rsidR="00560C5C" w:rsidRPr="00560C5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1CEA900C" w:rsidR="00A87A27" w:rsidRPr="00E9662C" w:rsidRDefault="00AD18E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Exposure to an infected tick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2E0AC0E8" w:rsidR="00A87A27" w:rsidRPr="00E9662C" w:rsidRDefault="00AD18E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AD18E1">
              <w:rPr>
                <w:rFonts w:ascii="Calibri" w:eastAsia="Times New Roman" w:hAnsi="Calibri" w:cs="Times New Roman"/>
                <w:color w:val="000000"/>
              </w:rPr>
              <w:t xml:space="preserve">istinctive skin lesion (EM, a red macule or papule that expands in an annular manner), systemic symptoms, polyarthritis, and neurologic and cardiac involvement; malaise, fatigue, fever, headache, stiff neck, </w:t>
            </w:r>
            <w:proofErr w:type="spellStart"/>
            <w:r w:rsidRPr="00AD18E1">
              <w:rPr>
                <w:rFonts w:ascii="Calibri" w:eastAsia="Times New Roman" w:hAnsi="Calibri" w:cs="Times New Roman"/>
                <w:color w:val="000000"/>
              </w:rPr>
              <w:t>mylagia</w:t>
            </w:r>
            <w:proofErr w:type="spellEnd"/>
            <w:r w:rsidRPr="00AD18E1">
              <w:rPr>
                <w:rFonts w:ascii="Calibri" w:eastAsia="Times New Roman" w:hAnsi="Calibri" w:cs="Times New Roman"/>
                <w:color w:val="000000"/>
              </w:rPr>
              <w:t xml:space="preserve">, migratory arthralgias or </w:t>
            </w:r>
            <w:proofErr w:type="spellStart"/>
            <w:r w:rsidRPr="00AD18E1">
              <w:rPr>
                <w:rFonts w:ascii="Calibri" w:eastAsia="Times New Roman" w:hAnsi="Calibri" w:cs="Times New Roman"/>
                <w:color w:val="000000"/>
              </w:rPr>
              <w:t>lympadenopathy</w:t>
            </w:r>
            <w:proofErr w:type="spellEnd"/>
            <w:r w:rsidRPr="00AD18E1">
              <w:rPr>
                <w:rFonts w:ascii="Calibri" w:eastAsia="Times New Roman" w:hAnsi="Calibri" w:cs="Times New Roman"/>
                <w:color w:val="000000"/>
              </w:rPr>
              <w:t xml:space="preserve"> lasting several weeks and may precede lesions; neurological and cardiac abnormalities weeks to months after onset of EM; chronic arthritis may develop</w:t>
            </w:r>
            <w:r w:rsidR="00F9013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118D6116" w:rsidR="00A87A27" w:rsidRPr="00E9662C" w:rsidRDefault="00AD18E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3-32 days after tick exposure.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84DFEA0" w:rsidR="00870ED9" w:rsidRPr="00E9662C" w:rsidRDefault="00AD18E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18E1">
              <w:rPr>
                <w:rFonts w:ascii="Calibri" w:eastAsia="Times New Roman" w:hAnsi="Calibri" w:cs="Times New Roman"/>
                <w:color w:val="000000"/>
              </w:rPr>
              <w:t>Not generally warranted for a tick bite alone</w:t>
            </w:r>
            <w:r w:rsidR="0026634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CAC34B3" w:rsidR="00870ED9" w:rsidRPr="00E9662C" w:rsidRDefault="00AD18E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Pr="00AD18E1">
              <w:rPr>
                <w:rFonts w:ascii="Calibri" w:eastAsia="Times New Roman" w:hAnsi="Calibri" w:cs="Times New Roman"/>
                <w:color w:val="000000"/>
              </w:rPr>
              <w:t>ecombinant outer-surface protein A vaccine (</w:t>
            </w:r>
            <w:proofErr w:type="spellStart"/>
            <w:r w:rsidRPr="00AD18E1">
              <w:rPr>
                <w:rFonts w:ascii="Calibri" w:eastAsia="Times New Roman" w:hAnsi="Calibri" w:cs="Times New Roman"/>
                <w:color w:val="000000"/>
              </w:rPr>
              <w:t>LYMErixT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DDE7398" w:rsidR="00870ED9" w:rsidRPr="00E9662C" w:rsidRDefault="00AD18E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18E1">
              <w:rPr>
                <w:rFonts w:ascii="Calibri" w:eastAsia="Times New Roman" w:hAnsi="Calibri" w:cs="Times New Roman"/>
                <w:color w:val="000000"/>
              </w:rPr>
              <w:t>Treatment of EM stage with doxycycline for adults and amoxicillin for children may prevent or lessen the severity of the major late cardiac, neurologic or arthritic complications</w:t>
            </w:r>
            <w:r w:rsidR="001941FA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6AD4EFF5" w:rsidR="00870ED9" w:rsidRPr="00E9662C" w:rsidRDefault="00AD18E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18E1">
              <w:rPr>
                <w:rFonts w:ascii="Calibri" w:eastAsia="Times New Roman" w:hAnsi="Calibri" w:cs="Times New Roman"/>
                <w:color w:val="000000"/>
              </w:rPr>
              <w:t>Monitor for appearance of typical lesions; serological tests (IFA, ELISA)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218D586F" w:rsidR="00870ED9" w:rsidRPr="00E9662C" w:rsidRDefault="00AD18E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18E1">
              <w:rPr>
                <w:rFonts w:ascii="Calibri" w:eastAsia="Times New Roman" w:hAnsi="Calibri" w:cs="Times New Roman"/>
                <w:color w:val="000000"/>
              </w:rPr>
              <w:t>Clinical specimens - blood, cerebrospinal fluid, urine, skin scrapings, retinal and synovial specimens; naturally or experimentally infected mammals, their ectoparasites and their infected tissues</w:t>
            </w:r>
            <w:r w:rsidR="00E056B9" w:rsidRPr="00E056B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09865F5" w:rsidR="00870ED9" w:rsidRPr="00E9662C" w:rsidRDefault="003D5FE5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0.5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>% sodium hypochlorite</w:t>
            </w:r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 xml:space="preserve"> (</w:t>
            </w:r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 xml:space="preserve">1:10 </w:t>
            </w:r>
            <w:proofErr w:type="spellStart"/>
            <w:proofErr w:type="gramStart"/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>)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 xml:space="preserve">, 70%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435DD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D798B41" w:rsidR="00870ED9" w:rsidRPr="00E9662C" w:rsidRDefault="007958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8B2A8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B2A8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FB4A9B" w:rsidRPr="00E9662C" w14:paraId="22823C91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28263" w14:textId="6D67468F" w:rsidR="00FB4A9B" w:rsidRDefault="00FB4A9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0D32C" w14:textId="7F11BF4D" w:rsidR="00FB4A9B" w:rsidRDefault="008B2A8D" w:rsidP="009D389D">
            <w:pPr>
              <w:spacing w:after="0" w:line="240" w:lineRule="auto"/>
            </w:pPr>
            <w:hyperlink r:id="rId9" w:history="1">
              <w:r w:rsidR="00FB4A9B" w:rsidRPr="00FB4A9B">
                <w:rPr>
                  <w:rStyle w:val="Hyperlink"/>
                  <w:rFonts w:ascii="Calibri" w:eastAsia="Times New Roman" w:hAnsi="Calibri" w:cs="Times New Roman"/>
                </w:rPr>
                <w:t>https://www.canada.ca/en/public-health/services/laboratory-biosafety-biosecurity/pathogen-safety-data-sheets-risk-assessment/borrelia-burgdorferi-material-safety-data-sheets-msds.html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25379C21" w14:textId="77777777" w:rsidR="007958BC" w:rsidRDefault="007958BC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7FC3E290" w14:textId="5DB9EE23" w:rsidR="00870ED9" w:rsidRPr="003667F2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7F2">
              <w:rPr>
                <w:rFonts w:ascii="Calibri" w:eastAsia="Times New Roman" w:hAnsi="Calibri" w:cs="Times New Roman"/>
                <w:color w:val="000000"/>
              </w:rPr>
              <w:t>406-5</w:t>
            </w:r>
            <w:r w:rsidR="00FB4A9B">
              <w:rPr>
                <w:rFonts w:ascii="Calibri" w:eastAsia="Times New Roman" w:hAnsi="Calibri" w:cs="Times New Roman"/>
                <w:color w:val="000000"/>
              </w:rPr>
              <w:t>77-7674</w:t>
            </w:r>
          </w:p>
          <w:p w14:paraId="3437E025" w14:textId="77777777" w:rsidR="003667F2" w:rsidRDefault="003667F2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0BCC7E3A" w:rsidR="00A87A27" w:rsidRDefault="008B2A8D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01D77FBA">
              <wp:simplePos x="0" y="0"/>
              <wp:positionH relativeFrom="page">
                <wp:posOffset>2552700</wp:posOffset>
              </wp:positionH>
              <wp:positionV relativeFrom="paragraph">
                <wp:posOffset>-266700</wp:posOffset>
              </wp:positionV>
              <wp:extent cx="1679575" cy="756285"/>
              <wp:effectExtent l="0" t="0" r="15875" b="2476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9575" cy="756285"/>
                        <a:chOff x="3930" y="-93"/>
                        <a:chExt cx="2645" cy="1191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93"/>
                          <a:ext cx="2645" cy="1191"/>
                          <a:chOff x="3930" y="-93"/>
                          <a:chExt cx="2645" cy="1191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34" y="-93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201D74BC" w14:textId="77777777" w:rsidR="008B2A8D" w:rsidRPr="00FD7764" w:rsidRDefault="008B2A8D" w:rsidP="008B2A8D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A5F967F" w:rsidR="00A87A27" w:rsidRDefault="00A87A27" w:rsidP="008B2A8D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21pt;width:132.25pt;height:59.55pt;z-index:251661312;mso-position-horizontal-relative:page" coordorigin="3930,-93" coordsize="2645,1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">
              <v:group id="Group 4" o:spid="_x0000_s1027" style="position:absolute;left:3930;top:-93;width:2645;height:1191" coordorigin="3930,-93" coordsize="2645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34;top:-93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201D74BC" w14:textId="77777777" w:rsidR="008B2A8D" w:rsidRPr="00FD7764" w:rsidRDefault="008B2A8D" w:rsidP="008B2A8D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A5F967F" w:rsidR="00A87A27" w:rsidRDefault="00A87A27" w:rsidP="008B2A8D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3F132D52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2C3E1AF7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r w:rsidR="00F24706">
      <w:rPr>
        <w:color w:val="000000" w:themeColor="text1"/>
        <w:sz w:val="32"/>
        <w:szCs w:val="32"/>
      </w:rPr>
      <w:t>Borrelia burgdorferi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2527"/>
    <w:rsid w:val="0007249A"/>
    <w:rsid w:val="0011134F"/>
    <w:rsid w:val="001941FA"/>
    <w:rsid w:val="0025520D"/>
    <w:rsid w:val="0026634C"/>
    <w:rsid w:val="00304FCF"/>
    <w:rsid w:val="003667F2"/>
    <w:rsid w:val="003D1549"/>
    <w:rsid w:val="003D5FE5"/>
    <w:rsid w:val="004524A8"/>
    <w:rsid w:val="004D37D3"/>
    <w:rsid w:val="00560C5C"/>
    <w:rsid w:val="00592E82"/>
    <w:rsid w:val="00597370"/>
    <w:rsid w:val="005D23B5"/>
    <w:rsid w:val="00746045"/>
    <w:rsid w:val="007547EF"/>
    <w:rsid w:val="007958BC"/>
    <w:rsid w:val="00870ED9"/>
    <w:rsid w:val="00886396"/>
    <w:rsid w:val="008B2A8D"/>
    <w:rsid w:val="009819EA"/>
    <w:rsid w:val="00A155B3"/>
    <w:rsid w:val="00A826EF"/>
    <w:rsid w:val="00A856C8"/>
    <w:rsid w:val="00A87A27"/>
    <w:rsid w:val="00AD18E1"/>
    <w:rsid w:val="00C0464B"/>
    <w:rsid w:val="00C953E2"/>
    <w:rsid w:val="00CA27BC"/>
    <w:rsid w:val="00DF555C"/>
    <w:rsid w:val="00E056B9"/>
    <w:rsid w:val="00E23671"/>
    <w:rsid w:val="00EC48F6"/>
    <w:rsid w:val="00EE2146"/>
    <w:rsid w:val="00F21C2D"/>
    <w:rsid w:val="00F24706"/>
    <w:rsid w:val="00F419E3"/>
    <w:rsid w:val="00F9013D"/>
    <w:rsid w:val="00F97134"/>
    <w:rsid w:val="00FB4A9B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borrelia-burgdorferi-material-safety-data-sheets-msd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4</cp:revision>
  <cp:lastPrinted>2024-04-26T14:33:00Z</cp:lastPrinted>
  <dcterms:created xsi:type="dcterms:W3CDTF">2024-10-08T15:57:00Z</dcterms:created>
  <dcterms:modified xsi:type="dcterms:W3CDTF">2024-12-09T18:08:00Z</dcterms:modified>
</cp:coreProperties>
</file>