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76B4C90" w:rsidR="00E2486A" w:rsidRPr="00E9662C" w:rsidRDefault="00675DF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 gram-positive rod that is anaerobic, motile, capable of producing spores, and produces many different toxins.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F22372C" w:rsidR="008E358F" w:rsidRPr="00E9662C" w:rsidRDefault="00675DF4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 poisoning (Type C), Gas Gangrene, cellulitis,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enteritis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necroticans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 CNS diseases.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5F9EE88" w:rsidR="00E2486A" w:rsidRPr="00C946D1" w:rsidRDefault="00675DF4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Yes; Type A foodborne disease and Type C infections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can be transmitted from animals to humans.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98447C6" w:rsidR="00A87A27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FF33DE6" w:rsidR="008E358F" w:rsidRPr="00E9662C" w:rsidRDefault="00675DF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Food-borne illness acquired by ingestion.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F2E8066" w:rsidR="00E2486A" w:rsidRPr="00923778" w:rsidRDefault="00675DF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 poisoning: Watery diarrhea, nausea, and abdominal pain. Gas Gangrene; breakdown of muscle tissue. Severe pain, edema, tenderness, and pallor, followed by discoloration and hemorrhagic bullae, and production of gas at the site of wound.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3DAFC67" w:rsidR="00A87A27" w:rsidRPr="00E9662C" w:rsidRDefault="00675DF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 poisoning: 100 million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4AC8A6F" w:rsidR="00E2486A" w:rsidRPr="00E9662C" w:rsidRDefault="00675DF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 poisoning: 8 to 24 hours Gas Gangrene: 1 to 4 days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06F056EE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13E8" w14:textId="77777777" w:rsidR="00675DF4" w:rsidRDefault="00675DF4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Food poisoning: Self-limiting disease. Therapy is mainly supportive.</w:t>
            </w:r>
          </w:p>
          <w:p w14:paraId="0AE135AB" w14:textId="084BC7FE" w:rsidR="00207B89" w:rsidRPr="00E9662C" w:rsidRDefault="00675DF4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 Gangrene: removal of all devitalized tissue in conjunction with antibiotic therapy with a combination of penicillin and clindamycin or tetracycline.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84F014A" w14:textId="77777777" w:rsidR="00CD7485" w:rsidRDefault="00CD7485" w:rsidP="00A87A27">
      <w:pPr>
        <w:pStyle w:val="NoSpacing"/>
      </w:pPr>
    </w:p>
    <w:p w14:paraId="7C0E4D45" w14:textId="77777777" w:rsidR="00267ACE" w:rsidRDefault="00267ACE" w:rsidP="00A87A27">
      <w:pPr>
        <w:pStyle w:val="NoSpacing"/>
      </w:pPr>
    </w:p>
    <w:p w14:paraId="4F44FEC8" w14:textId="77777777" w:rsidR="00267ACE" w:rsidRDefault="00267ACE" w:rsidP="00A87A27">
      <w:pPr>
        <w:pStyle w:val="NoSpacing"/>
      </w:pPr>
    </w:p>
    <w:p w14:paraId="448B7F07" w14:textId="77777777" w:rsidR="00D94A1E" w:rsidRDefault="00D94A1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AE482B" w:rsidR="00870ED9" w:rsidRPr="00E9662C" w:rsidRDefault="00675DF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018C929" w:rsidR="00870ED9" w:rsidRPr="00E9662C" w:rsidRDefault="00675DF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5DF4">
              <w:rPr>
                <w:rFonts w:ascii="Calibri" w:eastAsia="Times New Roman" w:hAnsi="Calibri" w:cs="Times New Roman"/>
                <w:color w:val="000000"/>
              </w:rPr>
              <w:t xml:space="preserve">Feces, food, blood, bowel contents or tissue.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D51C644" w:rsidR="00DC223D" w:rsidRPr="00267ACE" w:rsidRDefault="00675DF4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Spores are fairly resistant; moderate susceptibility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; susceptible to high level disinfectants (&gt;2 %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 with prolonged contact time, accelerated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47E5F8AD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75DF4" w:rsidRPr="00675DF4">
              <w:rPr>
                <w:rFonts w:ascii="Calibri" w:eastAsia="Times New Roman" w:hAnsi="Calibri" w:cs="Times New Roman"/>
                <w:color w:val="000000"/>
              </w:rPr>
              <w:t>and dry heat (1 hour at 160-170 C)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C4347FA" w:rsidR="00DC223D" w:rsidRPr="00E9662C" w:rsidRDefault="00675DF4" w:rsidP="00267A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Spores can survive for long periods outside of host.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E9662C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1ED30664" w:rsidR="00267ACE" w:rsidRPr="00267ACE" w:rsidRDefault="00675DF4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675DF4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https://www.canada.ca/en/public-health/services/laboratory-biosafety-biosecurity/pathogen-safety-data-sheets-risk-assessment/clostridium-perfringens.html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8A4A39D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A82908" w:rsidRPr="00A82908">
      <w:rPr>
        <w:rFonts w:ascii="Calibri" w:hAnsi="Calibri" w:cs="Calibri"/>
        <w:color w:val="000000" w:themeColor="text1"/>
        <w:sz w:val="28"/>
        <w:szCs w:val="28"/>
      </w:rPr>
      <w:t xml:space="preserve">Clostridium </w:t>
    </w:r>
    <w:r w:rsidR="00F5581E" w:rsidRPr="00F5581E">
      <w:rPr>
        <w:rFonts w:ascii="Calibri" w:hAnsi="Calibri" w:cs="Calibri"/>
        <w:color w:val="000000" w:themeColor="text1"/>
        <w:sz w:val="28"/>
        <w:szCs w:val="28"/>
      </w:rPr>
      <w:t>perfringens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lostridium-perfringen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2025-05-09T17:49:00Z</dcterms:created>
  <dcterms:modified xsi:type="dcterms:W3CDTF">2025-05-09T17:52:00Z</dcterms:modified>
</cp:coreProperties>
</file>