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092EA342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1A5">
              <w:rPr>
                <w:rFonts w:ascii="Calibri" w:eastAsia="Times New Roman" w:hAnsi="Calibri" w:cs="Times New Roman"/>
                <w:color w:val="000000"/>
              </w:rPr>
              <w:t xml:space="preserve">intracellular </w:t>
            </w:r>
            <w:proofErr w:type="gramStart"/>
            <w:r w:rsidRPr="00FC61A5">
              <w:rPr>
                <w:rFonts w:ascii="Calibri" w:eastAsia="Times New Roman" w:hAnsi="Calibri" w:cs="Times New Roman"/>
                <w:color w:val="000000"/>
              </w:rPr>
              <w:t>gram negative</w:t>
            </w:r>
            <w:proofErr w:type="gramEnd"/>
            <w:r w:rsidRPr="00FC61A5">
              <w:rPr>
                <w:rFonts w:ascii="Calibri" w:eastAsia="Times New Roman" w:hAnsi="Calibri" w:cs="Times New Roman"/>
                <w:color w:val="000000"/>
              </w:rPr>
              <w:t xml:space="preserve"> pleomorphic bacterium, 0.2 to 0.3 µm in diameter,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produce colonies with a "fried eggs"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5B8111E0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1A5">
              <w:rPr>
                <w:rFonts w:ascii="Calibri" w:eastAsia="Times New Roman" w:hAnsi="Calibri" w:cs="Times New Roman"/>
                <w:color w:val="000000"/>
              </w:rPr>
              <w:t>Immunocompromised patients and patients with agammaglobulinemia or who are receiving immunosuppressive drugs are particularly at risk. M. hominis does not usually persist in children after birth, but 17% of prepubescent girls are infected with this bacterium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FCD151D" w:rsidR="00A87A27" w:rsidRPr="00C946D1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670A00B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umans and non-human primates</w:t>
            </w:r>
            <w:r w:rsidR="00560C5C" w:rsidRPr="00560C5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1D44161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exual contact and cervical and vaginal contact during birth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5B32EE83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 xml:space="preserve">eonatal infections, including </w:t>
            </w:r>
            <w:proofErr w:type="spellStart"/>
            <w:r w:rsidRPr="00FC61A5">
              <w:rPr>
                <w:rFonts w:ascii="Calibri" w:eastAsia="Times New Roman" w:hAnsi="Calibri" w:cs="Times New Roman"/>
                <w:color w:val="000000"/>
              </w:rPr>
              <w:t>conjunctivis</w:t>
            </w:r>
            <w:proofErr w:type="spellEnd"/>
            <w:r w:rsidRPr="00FC61A5">
              <w:rPr>
                <w:rFonts w:ascii="Calibri" w:eastAsia="Times New Roman" w:hAnsi="Calibri" w:cs="Times New Roman"/>
                <w:color w:val="000000"/>
              </w:rPr>
              <w:t xml:space="preserve">, respiratory distress, fever, meningitis, abscesses, and congenital pneumonia, which occurs a few hours after birth. In adults, M. hominis may be implicated in pharyngitis, </w:t>
            </w:r>
            <w:proofErr w:type="spellStart"/>
            <w:r w:rsidRPr="00FC61A5">
              <w:rPr>
                <w:rFonts w:ascii="Calibri" w:eastAsia="Times New Roman" w:hAnsi="Calibri" w:cs="Times New Roman"/>
                <w:color w:val="000000"/>
              </w:rPr>
              <w:t>septicaemia</w:t>
            </w:r>
            <w:proofErr w:type="spellEnd"/>
            <w:r w:rsidRPr="00FC61A5">
              <w:rPr>
                <w:rFonts w:ascii="Calibri" w:eastAsia="Times New Roman" w:hAnsi="Calibri" w:cs="Times New Roman"/>
                <w:color w:val="000000"/>
              </w:rPr>
              <w:t>, lung infections, central nervous system infections, other respiratory tract infections, joint infection, and wound infections.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138200B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 w:rsidRPr="00B76C35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03C822AA" w:rsidR="00870ED9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1A5">
              <w:rPr>
                <w:rFonts w:ascii="Calibri" w:eastAsia="Times New Roman" w:hAnsi="Calibri" w:cs="Times New Roman"/>
                <w:color w:val="000000"/>
              </w:rPr>
              <w:t>Clindamycin may be given early in pregnancy for infected women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7DCE733A" w:rsidR="00870ED9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1A5">
              <w:rPr>
                <w:rFonts w:ascii="Calibri" w:eastAsia="Times New Roman" w:hAnsi="Calibri" w:cs="Times New Roman"/>
                <w:color w:val="000000"/>
              </w:rPr>
              <w:t>tetracycline, clindamycin, and quinolone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4A25356F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>Diagnosis can be confirmed by microbial culture and PCR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6450C32" w:rsidR="00870ED9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 xml:space="preserve">ody fluid, swabs, and </w:t>
            </w:r>
            <w:proofErr w:type="spellStart"/>
            <w:r w:rsidRPr="00FC61A5">
              <w:rPr>
                <w:rFonts w:ascii="Calibri" w:eastAsia="Times New Roman" w:hAnsi="Calibri" w:cs="Times New Roman"/>
                <w:color w:val="000000"/>
              </w:rPr>
              <w:t>uro</w:t>
            </w:r>
            <w:proofErr w:type="spellEnd"/>
            <w:r w:rsidRPr="00FC61A5">
              <w:rPr>
                <w:rFonts w:ascii="Calibri" w:eastAsia="Times New Roman" w:hAnsi="Calibri" w:cs="Times New Roman"/>
                <w:color w:val="000000"/>
              </w:rPr>
              <w:t xml:space="preserve">-genital tract tissues.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1ABEDC25" w:rsidR="00870ED9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Phenolic disinfectants, 1% sodium hypochlorite, 70% ethanol, formaldehyde, glutaraldehyde, </w:t>
            </w:r>
            <w:proofErr w:type="spellStart"/>
            <w:r w:rsidRPr="00FC61A5">
              <w:rPr>
                <w:rFonts w:ascii="Calibri" w:eastAsia="Times New Roman" w:hAnsi="Calibri" w:cs="Times New Roman"/>
                <w:color w:val="000000" w:themeColor="text1"/>
              </w:rPr>
              <w:t>iodophore</w:t>
            </w:r>
            <w:proofErr w:type="spellEnd"/>
            <w:r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, and </w:t>
            </w:r>
            <w:proofErr w:type="spellStart"/>
            <w:r w:rsidRPr="00FC61A5">
              <w:rPr>
                <w:rFonts w:ascii="Calibri" w:eastAsia="Times New Roman" w:hAnsi="Calibri" w:cs="Times New Roman"/>
                <w:color w:val="000000" w:themeColor="text1"/>
              </w:rPr>
              <w:t>peracedic</w:t>
            </w:r>
            <w:proofErr w:type="spellEnd"/>
            <w:r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 acid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3FC65770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Inactivated by 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 xml:space="preserve">UV, microwave, gamma radiation,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D115A89" w:rsidR="00870ED9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1A5">
              <w:rPr>
                <w:rFonts w:ascii="Calibri" w:eastAsia="Times New Roman" w:hAnsi="Calibri" w:cs="Times New Roman"/>
                <w:color w:val="000000"/>
              </w:rPr>
              <w:t>If protected from evaporation, M. hominis can survive for one hour in liquid specimens and have been found on toilet bowls</w:t>
            </w:r>
            <w:r w:rsidR="003667F2" w:rsidRP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D7213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2C06765E" w:rsidR="00870ED9" w:rsidRPr="00E9662C" w:rsidRDefault="00F21C2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F21C2D">
              <w:rPr>
                <w:rFonts w:ascii="Calibri" w:eastAsia="Times New Roman" w:hAnsi="Calibri" w:cs="Times New Roman"/>
                <w:color w:val="0563C1"/>
                <w:u w:val="single"/>
              </w:rPr>
              <w:t>https://www.cdc.gov/std/treatment-guidelines/mycoplasmagenitalium.htm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D7213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FC61A5" w:rsidRPr="00E9662C" w14:paraId="5F669691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5FF4" w14:textId="21FDFCA7" w:rsidR="00FC61A5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01A2" w14:textId="1383140A" w:rsidR="00FC61A5" w:rsidRDefault="00D72138" w:rsidP="009D389D">
            <w:pPr>
              <w:spacing w:after="0" w:line="240" w:lineRule="auto"/>
            </w:pPr>
            <w:hyperlink r:id="rId9" w:history="1">
              <w:r w:rsidR="00F21C2D" w:rsidRPr="00E9662C">
                <w:rPr>
                  <w:rFonts w:ascii="Calibri" w:eastAsia="Times New Roman" w:hAnsi="Calibri" w:cs="Times New Roman"/>
                  <w:color w:val="0563C1"/>
                  <w:u w:val="single"/>
                </w:rPr>
                <w:t>http://www.phac-aspc.gc.ca/lab-bio/res/psds-ftss/index-eng.php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32B82E03" w:rsidR="003667F2" w:rsidRDefault="0084775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7750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07243308" w14:textId="77777777" w:rsidR="00847750" w:rsidRDefault="00847750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708BEBA0" w:rsidR="00A87A27" w:rsidRDefault="00D72138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5416E0E9">
              <wp:simplePos x="0" y="0"/>
              <wp:positionH relativeFrom="page">
                <wp:posOffset>2552700</wp:posOffset>
              </wp:positionH>
              <wp:positionV relativeFrom="paragraph">
                <wp:posOffset>-259080</wp:posOffset>
              </wp:positionV>
              <wp:extent cx="1656715" cy="748665"/>
              <wp:effectExtent l="0" t="0" r="635" b="133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6715" cy="748665"/>
                        <a:chOff x="3930" y="-81"/>
                        <a:chExt cx="2609" cy="1179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81"/>
                          <a:ext cx="2609" cy="1179"/>
                          <a:chOff x="3930" y="-81"/>
                          <a:chExt cx="2609" cy="1179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98" y="-81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4311CFC3" w14:textId="77777777" w:rsidR="00D72138" w:rsidRPr="00FD7764" w:rsidRDefault="00D72138" w:rsidP="00D72138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2172902D" w:rsidR="00A87A27" w:rsidRDefault="00A87A27" w:rsidP="00D72138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20.4pt;width:130.45pt;height:58.95pt;z-index:251661312;mso-position-horizontal-relative:page" coordorigin="3930,-81" coordsize="2609,1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">
              <v:group id="Group 4" o:spid="_x0000_s1027" style="position:absolute;left:3930;top:-81;width:2609;height:1179" coordorigin="3930,-81" coordsize="2609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98;top:-81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4311CFC3" w14:textId="77777777" w:rsidR="00D72138" w:rsidRPr="00FD7764" w:rsidRDefault="00D72138" w:rsidP="00D72138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2172902D" w:rsidR="00A87A27" w:rsidRDefault="00A87A27" w:rsidP="00D72138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42DB3CC8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65B816C9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886396">
      <w:rPr>
        <w:color w:val="000000" w:themeColor="text1"/>
        <w:sz w:val="32"/>
        <w:szCs w:val="32"/>
      </w:rPr>
      <w:t>Mycoplasma hominis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3667F2"/>
    <w:rsid w:val="004E25E8"/>
    <w:rsid w:val="00560C5C"/>
    <w:rsid w:val="00597370"/>
    <w:rsid w:val="007547EF"/>
    <w:rsid w:val="007A7D84"/>
    <w:rsid w:val="00847750"/>
    <w:rsid w:val="00870ED9"/>
    <w:rsid w:val="00886396"/>
    <w:rsid w:val="00A155B3"/>
    <w:rsid w:val="00A826EF"/>
    <w:rsid w:val="00A856C8"/>
    <w:rsid w:val="00A87A27"/>
    <w:rsid w:val="00C0464B"/>
    <w:rsid w:val="00D72138"/>
    <w:rsid w:val="00F21C2D"/>
    <w:rsid w:val="00F419E3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ac-aspc.gc.ca/lab-bio/res/psds-ftss/index-eng.ph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5</cp:revision>
  <cp:lastPrinted>2024-04-26T14:33:00Z</cp:lastPrinted>
  <dcterms:created xsi:type="dcterms:W3CDTF">2024-04-26T22:40:00Z</dcterms:created>
  <dcterms:modified xsi:type="dcterms:W3CDTF">2024-12-09T18:19:00Z</dcterms:modified>
</cp:coreProperties>
</file>