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7ED2" w14:textId="77777777" w:rsidR="00870ED9" w:rsidRDefault="00870ED9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14"/>
        <w:gridCol w:w="3906"/>
      </w:tblGrid>
      <w:tr w:rsidR="00A87A27" w:rsidRPr="00E9662C" w14:paraId="0B05F592" w14:textId="77777777" w:rsidTr="00A87A27">
        <w:trPr>
          <w:trHeight w:val="442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69DE2A3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bookmarkStart w:id="0" w:name="_Hlk165011220"/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CHARACTERISTICS</w:t>
            </w:r>
          </w:p>
        </w:tc>
      </w:tr>
      <w:tr w:rsidR="007976BE" w:rsidRPr="00E9662C" w14:paraId="26B3DD7A" w14:textId="77777777" w:rsidTr="00A87A27">
        <w:trPr>
          <w:trHeight w:val="631"/>
        </w:trPr>
        <w:tc>
          <w:tcPr>
            <w:tcW w:w="1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A8BF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Morphology</w:t>
            </w:r>
          </w:p>
        </w:tc>
        <w:tc>
          <w:tcPr>
            <w:tcW w:w="3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9AB0C" w14:textId="7ADAEF3C" w:rsidR="007976BE" w:rsidRPr="00E9662C" w:rsidRDefault="005567E3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Gram-positive cocci, usually occurs in clusters,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nonspore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 forming, non-motile, coagulase positive, facultative anaerobes.</w:t>
            </w:r>
          </w:p>
        </w:tc>
      </w:tr>
      <w:tr w:rsidR="007976BE" w:rsidRPr="00E9662C" w14:paraId="5A527E46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5D5F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Disease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2CB617" w14:textId="0A8843B3" w:rsidR="007976BE" w:rsidRPr="00E9662C" w:rsidRDefault="005567E3" w:rsidP="00556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Toxic shock syndrome, food poisoning, intoxication,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impetigo.</w:t>
            </w:r>
          </w:p>
        </w:tc>
      </w:tr>
      <w:tr w:rsidR="007976BE" w:rsidRPr="00E9662C" w14:paraId="3E20BECF" w14:textId="77777777" w:rsidTr="00A87A27">
        <w:trPr>
          <w:trHeight w:val="315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32F41" w14:textId="77777777" w:rsidR="007976BE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Zoonosis</w:t>
            </w:r>
          </w:p>
        </w:tc>
        <w:tc>
          <w:tcPr>
            <w:tcW w:w="3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92B3" w14:textId="15A2FC10" w:rsidR="007976BE" w:rsidRPr="00C946D1" w:rsidRDefault="005567E3" w:rsidP="005567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Yes, indirect and direct contact with infected animals,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especially cows.</w:t>
            </w:r>
          </w:p>
        </w:tc>
      </w:tr>
      <w:bookmarkEnd w:id="0"/>
    </w:tbl>
    <w:p w14:paraId="38F571DE" w14:textId="77777777" w:rsidR="00A87A27" w:rsidRDefault="00A87A27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388"/>
        <w:gridCol w:w="3832"/>
      </w:tblGrid>
      <w:tr w:rsidR="00A87A27" w:rsidRPr="00E9662C" w14:paraId="6F89E7B7" w14:textId="77777777" w:rsidTr="00A87A27">
        <w:trPr>
          <w:trHeight w:val="397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35B15801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HEALTH HAZARDS</w:t>
            </w:r>
          </w:p>
        </w:tc>
      </w:tr>
      <w:tr w:rsidR="00A87A27" w:rsidRPr="00E9662C" w14:paraId="7B1487BF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B5104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Host Range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FD1E8" w14:textId="30025183" w:rsidR="00A87A27" w:rsidRPr="00E9662C" w:rsidRDefault="00205F96" w:rsidP="001E249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Humans</w:t>
            </w:r>
            <w:r w:rsidR="005567E3">
              <w:rPr>
                <w:rFonts w:ascii="Calibri" w:eastAsia="Times New Roman" w:hAnsi="Calibri" w:cs="Times New Roman"/>
                <w:color w:val="000000"/>
              </w:rPr>
              <w:t xml:space="preserve"> and animals.</w:t>
            </w:r>
          </w:p>
        </w:tc>
      </w:tr>
      <w:tr w:rsidR="007976BE" w:rsidRPr="00E9662C" w14:paraId="5469F1F3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9BC0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Modes of Transmission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6C0E36" w14:textId="4017B5F8" w:rsidR="007976BE" w:rsidRPr="00E9662C" w:rsidRDefault="005567E3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Ingestion of food containing enterotoxins, contact with nasal carriers, contact with draining lesions or purulent discharges, also spread by person-to-person contact; Indirectly by contact with fomites, Indirectly or directly by contact with infected animals.</w:t>
            </w:r>
          </w:p>
        </w:tc>
      </w:tr>
      <w:tr w:rsidR="007976BE" w:rsidRPr="00E9662C" w14:paraId="40F3DED7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3EA4A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Signs and Symptoms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0121F" w14:textId="0588FAAC" w:rsidR="007976BE" w:rsidRPr="00923778" w:rsidRDefault="005567E3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Accidental ingestion: Violent onset of severe nausea, cramps, vomiting, and diarrhea if preformed enterotoxin is present. Surface infections: Impetigo,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follicutis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>, abscesses, boils, infected lacerations. Systemic infections: onset of fever, headache, myalgia, can progress to endocarditis, meningitis, septic arthritis, pneumonia, osteomyelitis, sepsis.</w:t>
            </w:r>
          </w:p>
        </w:tc>
      </w:tr>
      <w:tr w:rsidR="00A87A27" w:rsidRPr="00E9662C" w14:paraId="365B06C0" w14:textId="77777777" w:rsidTr="00A87A27">
        <w:trPr>
          <w:trHeight w:val="567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8C50E" w14:textId="77777777" w:rsidR="00A87A27" w:rsidRPr="00E9662C" w:rsidRDefault="00A87A27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Infectious Dose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C99F4" w14:textId="6C9118D3" w:rsidR="00A87A27" w:rsidRPr="00E9662C" w:rsidRDefault="005567E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Virulence varies for different strains.</w:t>
            </w:r>
          </w:p>
        </w:tc>
      </w:tr>
      <w:tr w:rsidR="00194FD1" w:rsidRPr="00E9662C" w14:paraId="13D7B4AD" w14:textId="77777777" w:rsidTr="00A87A27">
        <w:trPr>
          <w:trHeight w:val="283"/>
        </w:trPr>
        <w:tc>
          <w:tcPr>
            <w:tcW w:w="1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B6CF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Incubation Period</w:t>
            </w:r>
          </w:p>
        </w:tc>
        <w:tc>
          <w:tcPr>
            <w:tcW w:w="3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812D7" w14:textId="358D0068" w:rsidR="00194FD1" w:rsidRPr="00E9662C" w:rsidRDefault="005567E3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 minutes to 8 hours when consuming contaminated food with enterotoxin. Otherwise, typically 4 to 10 days. Disease may not occur until several months after colonization of mucosal surfaces.</w:t>
            </w:r>
          </w:p>
        </w:tc>
      </w:tr>
    </w:tbl>
    <w:p w14:paraId="04DC981E" w14:textId="77777777" w:rsidR="006F52C8" w:rsidRDefault="006F52C8" w:rsidP="00A87A27">
      <w:pPr>
        <w:pStyle w:val="NoSpacing"/>
      </w:pPr>
    </w:p>
    <w:p w14:paraId="6BDF8FD2" w14:textId="77777777" w:rsidR="005567E3" w:rsidRDefault="005567E3" w:rsidP="00A87A27">
      <w:pPr>
        <w:pStyle w:val="NoSpacing"/>
      </w:pPr>
    </w:p>
    <w:p w14:paraId="03069FF9" w14:textId="77777777" w:rsidR="005567E3" w:rsidRDefault="005567E3" w:rsidP="00A87A27">
      <w:pPr>
        <w:pStyle w:val="NoSpacing"/>
      </w:pPr>
    </w:p>
    <w:p w14:paraId="4F5D79BD" w14:textId="77777777" w:rsidR="005567E3" w:rsidRDefault="005567E3" w:rsidP="00A87A27">
      <w:pPr>
        <w:pStyle w:val="NoSpacing"/>
      </w:pPr>
    </w:p>
    <w:p w14:paraId="2D817241" w14:textId="77777777" w:rsidR="005567E3" w:rsidRDefault="005567E3" w:rsidP="00A87A27">
      <w:pPr>
        <w:pStyle w:val="NoSpacing"/>
      </w:pPr>
    </w:p>
    <w:p w14:paraId="23A6D20D" w14:textId="77777777" w:rsidR="005567E3" w:rsidRDefault="005567E3" w:rsidP="00A87A27">
      <w:pPr>
        <w:pStyle w:val="NoSpacing"/>
      </w:pPr>
    </w:p>
    <w:p w14:paraId="747C5EC0" w14:textId="77777777" w:rsidR="005567E3" w:rsidRDefault="005567E3" w:rsidP="00A87A27">
      <w:pPr>
        <w:pStyle w:val="NoSpacing"/>
      </w:pPr>
    </w:p>
    <w:p w14:paraId="16F25298" w14:textId="77777777" w:rsidR="005567E3" w:rsidRDefault="005567E3" w:rsidP="00A87A27">
      <w:pPr>
        <w:pStyle w:val="NoSpacing"/>
      </w:pPr>
    </w:p>
    <w:p w14:paraId="53F05277" w14:textId="77777777" w:rsidR="005567E3" w:rsidRDefault="005567E3" w:rsidP="00A87A27">
      <w:pPr>
        <w:pStyle w:val="NoSpacing"/>
      </w:pPr>
    </w:p>
    <w:p w14:paraId="05F652E1" w14:textId="77777777" w:rsidR="005567E3" w:rsidRDefault="005567E3" w:rsidP="00A87A27">
      <w:pPr>
        <w:pStyle w:val="NoSpacing"/>
      </w:pPr>
    </w:p>
    <w:tbl>
      <w:tblPr>
        <w:tblW w:w="5220" w:type="dxa"/>
        <w:tblInd w:w="-5" w:type="dxa"/>
        <w:tblLook w:val="04A0" w:firstRow="1" w:lastRow="0" w:firstColumn="1" w:lastColumn="0" w:noHBand="0" w:noVBand="1"/>
      </w:tblPr>
      <w:tblGrid>
        <w:gridCol w:w="1474"/>
        <w:gridCol w:w="3746"/>
      </w:tblGrid>
      <w:tr w:rsidR="00D22C18" w:rsidRPr="00E9662C" w14:paraId="5F92EF13" w14:textId="77777777" w:rsidTr="00531455">
        <w:trPr>
          <w:trHeight w:val="406"/>
        </w:trPr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17AD03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MEDICAL PRECAUTIONS/TREATMENT</w:t>
            </w:r>
          </w:p>
        </w:tc>
      </w:tr>
      <w:tr w:rsidR="00194FD1" w:rsidRPr="00E9662C" w14:paraId="33724FBF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A99FA" w14:textId="77777777" w:rsidR="00194FD1" w:rsidRPr="00E9662C" w:rsidRDefault="00194FD1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Prophylaxis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1C43E" w14:textId="7BEA504E" w:rsidR="00194FD1" w:rsidRPr="00E9662C" w:rsidRDefault="005567E3" w:rsidP="00194FD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Hand-hygiene; Elimination of nasal carriage by using topical mupirocin. Mupirocin also eliminates transient hand carriage by eliminating the mucosal reservoir.</w:t>
            </w:r>
          </w:p>
        </w:tc>
      </w:tr>
      <w:tr w:rsidR="00D22C18" w:rsidRPr="00E9662C" w14:paraId="61D09619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2854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Vaccines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A0577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None.</w:t>
            </w:r>
          </w:p>
        </w:tc>
      </w:tr>
      <w:tr w:rsidR="007976BE" w:rsidRPr="00E9662C" w14:paraId="370B71E1" w14:textId="77777777" w:rsidTr="00531455">
        <w:trPr>
          <w:trHeight w:val="593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1E31" w14:textId="77777777" w:rsidR="007976BE" w:rsidRPr="00E9662C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Treatment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7E790" w14:textId="4AB4D857" w:rsidR="007976BE" w:rsidRPr="00E9662C" w:rsidRDefault="005567E3" w:rsidP="00B977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Incision and drainage for localized skin infections; antibiotic therapy for severe infections; Many strains resistant to antibiotics; Sensitivity must be determined for each strain.</w:t>
            </w:r>
          </w:p>
        </w:tc>
      </w:tr>
      <w:tr w:rsidR="00D22C18" w:rsidRPr="00E9662C" w14:paraId="5690D44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9429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Surveillance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CD76A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67ACE">
              <w:rPr>
                <w:rFonts w:ascii="Calibri" w:eastAsia="Times New Roman" w:hAnsi="Calibri" w:cs="Times New Roman"/>
                <w:color w:val="000000"/>
              </w:rPr>
              <w:t>Monitor for symptoms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D22C18" w:rsidRPr="00E9662C" w14:paraId="52612006" w14:textId="77777777" w:rsidTr="00531455">
        <w:trPr>
          <w:trHeight w:val="290"/>
        </w:trPr>
        <w:tc>
          <w:tcPr>
            <w:tcW w:w="14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C684F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MSU Requirements</w:t>
            </w:r>
          </w:p>
        </w:tc>
        <w:tc>
          <w:tcPr>
            <w:tcW w:w="3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A613B" w14:textId="77777777" w:rsidR="00D22C18" w:rsidRPr="00E9662C" w:rsidRDefault="00D22C18" w:rsidP="0053145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 any exposures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0A5E40CA" w14:textId="77777777" w:rsidR="00205F96" w:rsidRDefault="00205F96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94"/>
        <w:gridCol w:w="4116"/>
      </w:tblGrid>
      <w:tr w:rsidR="00870ED9" w:rsidRPr="005567E3" w14:paraId="40BEA07B" w14:textId="77777777" w:rsidTr="00870ED9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2D200723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  <w:t>LABORATORY HAZARDS</w:t>
            </w:r>
          </w:p>
        </w:tc>
      </w:tr>
      <w:tr w:rsidR="007976BE" w:rsidRPr="005567E3" w14:paraId="787E850F" w14:textId="77777777" w:rsidTr="00870ED9">
        <w:trPr>
          <w:trHeight w:val="434"/>
        </w:trPr>
        <w:tc>
          <w:tcPr>
            <w:tcW w:w="1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F758F" w14:textId="77777777" w:rsidR="007976BE" w:rsidRPr="005567E3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Laboratory Acquired Infections (LAIs) </w:t>
            </w:r>
          </w:p>
        </w:tc>
        <w:tc>
          <w:tcPr>
            <w:tcW w:w="4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EDD7DA" w14:textId="57D7A649" w:rsidR="007976BE" w:rsidRPr="005567E3" w:rsidRDefault="005567E3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 reported cases up to 1973 with 1 death. Most common cause of laboratory infection was accidental self-exposure via the mucous membranes by touching contaminated hands to face or eyes.</w:t>
            </w:r>
          </w:p>
        </w:tc>
      </w:tr>
      <w:tr w:rsidR="00870ED9" w:rsidRPr="005567E3" w14:paraId="4DCD5A85" w14:textId="77777777" w:rsidTr="00870ED9">
        <w:trPr>
          <w:trHeight w:val="43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37980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Sources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8F073" w14:textId="6F9C2B26" w:rsidR="00870ED9" w:rsidRPr="005567E3" w:rsidRDefault="005567E3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Contaminated food, blood, abscesses, lesion exudates, CFS, respiratory specimen, feces, and urine. </w:t>
            </w:r>
            <w:r w:rsidR="00AD5747"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Cultures, frozen stocks, other samples described in IBC protocol.</w:t>
            </w:r>
          </w:p>
        </w:tc>
      </w:tr>
    </w:tbl>
    <w:p w14:paraId="01918AA3" w14:textId="77777777" w:rsidR="00194FD1" w:rsidRDefault="00194FD1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5567E3" w14:paraId="55CCA008" w14:textId="77777777" w:rsidTr="009D389D">
        <w:trPr>
          <w:trHeight w:val="304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04308E38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  <w:t>RISK GROUP &amp; CONTAINMENT REQUIREMENTS</w:t>
            </w:r>
          </w:p>
        </w:tc>
      </w:tr>
      <w:tr w:rsidR="00870ED9" w:rsidRPr="005567E3" w14:paraId="08BB01A3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43AC2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Risk Group 2</w:t>
            </w:r>
          </w:p>
        </w:tc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E940" w14:textId="2C3E9860" w:rsidR="00870ED9" w:rsidRPr="005567E3" w:rsidRDefault="00870ED9" w:rsidP="003667F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Agents that are associated with human disease</w:t>
            </w:r>
            <w:r w:rsidR="003667F2"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which is rarely serious and for which preventive or</w:t>
            </w:r>
            <w:r w:rsidR="003667F2"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 </w:t>
            </w: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therapeutic interventions are often available.</w:t>
            </w:r>
          </w:p>
        </w:tc>
      </w:tr>
      <w:tr w:rsidR="00870ED9" w:rsidRPr="005567E3" w14:paraId="6FAA1AB1" w14:textId="77777777" w:rsidTr="009D389D">
        <w:trPr>
          <w:trHeight w:val="434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A8556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BSL2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9F3C9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 all procedures involving suspected or known infectious specimen or cultures.</w:t>
            </w:r>
          </w:p>
        </w:tc>
      </w:tr>
      <w:tr w:rsidR="00870ED9" w:rsidRPr="005567E3" w14:paraId="14E2B625" w14:textId="77777777" w:rsidTr="009D389D">
        <w:trPr>
          <w:trHeight w:val="434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EECBD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ABSL2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CF2FC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For all procedures utilizing infected animals.</w:t>
            </w:r>
          </w:p>
        </w:tc>
      </w:tr>
    </w:tbl>
    <w:p w14:paraId="61398CB9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ook w:val="04A0" w:firstRow="1" w:lastRow="0" w:firstColumn="1" w:lastColumn="0" w:noHBand="0" w:noVBand="1"/>
      </w:tblPr>
      <w:tblGrid>
        <w:gridCol w:w="1280"/>
        <w:gridCol w:w="4030"/>
      </w:tblGrid>
      <w:tr w:rsidR="00870ED9" w:rsidRPr="005567E3" w14:paraId="5839FB20" w14:textId="77777777" w:rsidTr="009D389D">
        <w:trPr>
          <w:trHeight w:val="308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2F75B5"/>
            <w:noWrap/>
            <w:vAlign w:val="bottom"/>
            <w:hideMark/>
          </w:tcPr>
          <w:p w14:paraId="5057ED5D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</w:pPr>
            <w:r w:rsidRPr="005567E3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</w:rPr>
              <w:t>VIABILITY</w:t>
            </w:r>
          </w:p>
        </w:tc>
      </w:tr>
      <w:tr w:rsidR="007976BE" w:rsidRPr="005567E3" w14:paraId="48B61B08" w14:textId="77777777" w:rsidTr="009D389D">
        <w:trPr>
          <w:trHeight w:val="22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DB82" w14:textId="77777777" w:rsidR="007976BE" w:rsidRPr="005567E3" w:rsidRDefault="007976BE" w:rsidP="007976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Disinfection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8DEBE" w14:textId="28AD1F30" w:rsidR="007976BE" w:rsidRPr="005567E3" w:rsidRDefault="005567E3" w:rsidP="007976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Susceptible to 1:10 </w:t>
            </w:r>
            <w:proofErr w:type="spellStart"/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bleach:water</w:t>
            </w:r>
            <w:proofErr w:type="spellEnd"/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70 % ethanol and 2 % </w:t>
            </w:r>
            <w:proofErr w:type="spellStart"/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gluteraldehyde</w:t>
            </w:r>
            <w:proofErr w:type="spellEnd"/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chlorohexadine</w:t>
            </w:r>
            <w:proofErr w:type="spellEnd"/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, formaldehyde, and 0.25 % benzalkonium chloride.</w:t>
            </w:r>
          </w:p>
        </w:tc>
      </w:tr>
      <w:tr w:rsidR="00870ED9" w:rsidRPr="005567E3" w14:paraId="463D9C61" w14:textId="77777777" w:rsidTr="009D389D">
        <w:trPr>
          <w:trHeight w:val="44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CCFD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Inactivation</w:t>
            </w:r>
          </w:p>
        </w:tc>
        <w:tc>
          <w:tcPr>
            <w:tcW w:w="4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B989" w14:textId="6A2030B3" w:rsidR="00870ED9" w:rsidRPr="005567E3" w:rsidRDefault="00C96654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Inactivated by moist heat (1 hour at 121</w:t>
            </w:r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o</w:t>
            </w:r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C)</w:t>
            </w:r>
            <w:r w:rsidR="00E914F8"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and dry heat (1 hour at 170</w:t>
            </w:r>
            <w:r w:rsidR="00E914F8"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  <w:vertAlign w:val="superscript"/>
              </w:rPr>
              <w:t>o</w:t>
            </w:r>
            <w:r w:rsidR="00E914F8"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C)</w:t>
            </w:r>
            <w:r w:rsidR="001355E0"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.</w:t>
            </w:r>
          </w:p>
        </w:tc>
      </w:tr>
      <w:tr w:rsidR="00DC223D" w:rsidRPr="005567E3" w14:paraId="43932C43" w14:textId="77777777" w:rsidTr="009D389D">
        <w:trPr>
          <w:trHeight w:val="44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50663" w14:textId="77777777" w:rsidR="00DC223D" w:rsidRPr="005567E3" w:rsidRDefault="00DC223D" w:rsidP="00DC2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Survival Outside Host</w:t>
            </w:r>
          </w:p>
        </w:tc>
        <w:tc>
          <w:tcPr>
            <w:tcW w:w="4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2D2F1" w14:textId="41902A03" w:rsidR="00DC223D" w:rsidRPr="005567E3" w:rsidRDefault="005567E3" w:rsidP="005A7A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Carcass and organs – 42 days; Skin – 30 minutes to 38 days; meat products – 60 days; floor – less than 7 days; glassware – 46 hours; sunlight – 17 days; UV light – 7 hours.</w:t>
            </w:r>
          </w:p>
        </w:tc>
      </w:tr>
    </w:tbl>
    <w:p w14:paraId="75A005C7" w14:textId="77777777" w:rsidR="00870ED9" w:rsidRDefault="00870ED9" w:rsidP="00A87A27">
      <w:pPr>
        <w:pStyle w:val="NoSpacing"/>
      </w:pPr>
    </w:p>
    <w:tbl>
      <w:tblPr>
        <w:tblW w:w="53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0"/>
        <w:gridCol w:w="4140"/>
      </w:tblGrid>
      <w:tr w:rsidR="00870ED9" w:rsidRPr="005567E3" w14:paraId="4B44E29D" w14:textId="77777777" w:rsidTr="00870ED9">
        <w:trPr>
          <w:trHeight w:val="265"/>
        </w:trPr>
        <w:tc>
          <w:tcPr>
            <w:tcW w:w="5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44662B0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</w:rPr>
              <w:t>SUPPLEMENTAL REFERENCES</w:t>
            </w:r>
          </w:p>
        </w:tc>
      </w:tr>
      <w:tr w:rsidR="00870ED9" w:rsidRPr="005567E3" w14:paraId="74BC9200" w14:textId="77777777" w:rsidTr="00870ED9">
        <w:trPr>
          <w:trHeight w:val="379"/>
        </w:trPr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D2880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BMBL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79F07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</w:rPr>
            </w:pPr>
            <w:hyperlink r:id="rId7" w:history="1">
              <w:r w:rsidRPr="005567E3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https://www.cdc.gov/labs/BMBL.html</w:t>
              </w:r>
            </w:hyperlink>
            <w:r w:rsidRPr="005567E3"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870ED9" w:rsidRPr="005567E3" w14:paraId="1EF92F95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69DD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NIH Guidelines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0E7A" w14:textId="77777777" w:rsidR="00870ED9" w:rsidRPr="005567E3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</w:pPr>
            <w:hyperlink r:id="rId8" w:history="1">
              <w:r w:rsidRPr="005567E3">
                <w:rPr>
                  <w:rStyle w:val="Hyperlink"/>
                  <w:rFonts w:ascii="Calibri" w:eastAsia="Times New Roman" w:hAnsi="Calibri" w:cs="Times New Roman"/>
                  <w:sz w:val="16"/>
                  <w:szCs w:val="16"/>
                </w:rPr>
                <w:t>https://osp.od.nih.gov/wp-content/uploads/NIH_Guidelines.pdf</w:t>
              </w:r>
            </w:hyperlink>
            <w:r w:rsidRPr="005567E3">
              <w:rPr>
                <w:rFonts w:ascii="Calibri" w:eastAsia="Times New Roman" w:hAnsi="Calibri" w:cs="Times New Roman"/>
                <w:color w:val="0563C1"/>
                <w:sz w:val="16"/>
                <w:szCs w:val="16"/>
                <w:u w:val="single"/>
              </w:rPr>
              <w:t xml:space="preserve"> </w:t>
            </w:r>
          </w:p>
        </w:tc>
      </w:tr>
      <w:tr w:rsidR="00194FD1" w:rsidRPr="005567E3" w14:paraId="47DEA5C8" w14:textId="77777777" w:rsidTr="00870ED9">
        <w:trPr>
          <w:trHeight w:val="305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EB7F1" w14:textId="1A345C2A" w:rsidR="00194FD1" w:rsidRPr="005567E3" w:rsidRDefault="00194FD1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5567E3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Canada PSDS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357DD" w14:textId="4F70E65C" w:rsidR="00194FD1" w:rsidRPr="005567E3" w:rsidRDefault="005567E3" w:rsidP="009D389D">
            <w:pPr>
              <w:spacing w:after="0" w:line="240" w:lineRule="auto"/>
              <w:rPr>
                <w:rFonts w:ascii="Calibri" w:hAnsi="Calibri" w:cs="Calibri"/>
                <w:sz w:val="16"/>
                <w:szCs w:val="16"/>
                <w:u w:val="single"/>
              </w:rPr>
            </w:pPr>
            <w:hyperlink r:id="rId9" w:history="1">
              <w:r w:rsidRPr="005567E3">
                <w:rPr>
                  <w:rStyle w:val="Hyperlink"/>
                  <w:rFonts w:ascii="Calibri" w:hAnsi="Calibri" w:cs="Calibri"/>
                  <w:sz w:val="16"/>
                  <w:szCs w:val="16"/>
                </w:rPr>
                <w:t>https://www.canada.ca/en/public-health/services/laboratory-biosafety-biosecurity/pathogen-safety-data-sheets-risk-assessment/staphylococcus-aureus.html</w:t>
              </w:r>
            </w:hyperlink>
          </w:p>
        </w:tc>
      </w:tr>
    </w:tbl>
    <w:p w14:paraId="4F95AD08" w14:textId="77777777" w:rsidR="00194FD1" w:rsidRDefault="00194FD1" w:rsidP="00A87A27">
      <w:pPr>
        <w:pStyle w:val="NoSpacing"/>
        <w:sectPr w:rsidR="00194FD1" w:rsidSect="00D22C18">
          <w:headerReference w:type="default" r:id="rId10"/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7C00F903" w14:textId="77777777" w:rsidR="00205F96" w:rsidRDefault="00205F96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49C39330" w14:textId="77777777" w:rsidTr="00870ED9">
        <w:trPr>
          <w:trHeight w:val="34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4888F8F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SPILL PROCEDURES</w:t>
            </w:r>
          </w:p>
        </w:tc>
      </w:tr>
      <w:tr w:rsidR="00870ED9" w:rsidRPr="00E9662C" w14:paraId="33C9BD38" w14:textId="77777777" w:rsidTr="00870ED9">
        <w:trPr>
          <w:trHeight w:val="127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D8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Small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60C1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Notify others working in the lab. Remove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 don new </w:t>
            </w:r>
            <w:r>
              <w:rPr>
                <w:rFonts w:ascii="Calibri" w:eastAsia="Times New Roman" w:hAnsi="Calibri" w:cs="Times New Roman"/>
                <w:color w:val="000000"/>
              </w:rPr>
              <w:t>PPE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. Cover area of the </w:t>
            </w:r>
            <w:r>
              <w:rPr>
                <w:rFonts w:ascii="Calibri" w:eastAsia="Times New Roman" w:hAnsi="Calibri" w:cs="Times New Roman"/>
                <w:color w:val="000000"/>
              </w:rPr>
              <w:t>spill with absorbent material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and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add fresh 1:10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</w:rPr>
              <w:t>bleach:water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</w:rPr>
              <w:t xml:space="preserve">.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Allow </w:t>
            </w:r>
            <w:r>
              <w:rPr>
                <w:rFonts w:ascii="Calibri" w:eastAsia="Times New Roman" w:hAnsi="Calibri" w:cs="Times New Roman"/>
                <w:color w:val="000000"/>
              </w:rPr>
              <w:t>20 minutes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(or as directed) 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of contact time</w:t>
            </w:r>
            <w:r>
              <w:rPr>
                <w:rFonts w:ascii="Calibri" w:eastAsia="Times New Roman" w:hAnsi="Calibri" w:cs="Times New Roman"/>
                <w:color w:val="000000"/>
              </w:rPr>
              <w:t>. After 20 minutes, c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leanup and dispose of materials.</w:t>
            </w:r>
          </w:p>
        </w:tc>
      </w:tr>
      <w:tr w:rsidR="00870ED9" w:rsidRPr="00E9662C" w14:paraId="42C6C8B2" w14:textId="77777777" w:rsidTr="00870ED9">
        <w:trPr>
          <w:trHeight w:val="827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CED6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Large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C5D03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Immediately notify all personnel in the lab and clear all personnel from the area. Remove any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contaminated PPE/clothing and leave the lab.</w:t>
            </w:r>
          </w:p>
          <w:p w14:paraId="3EE918B4" w14:textId="77777777" w:rsidR="00870ED9" w:rsidRPr="00756E17" w:rsidRDefault="00870ED9" w:rsidP="009D389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66" w:hanging="180"/>
              <w:rPr>
                <w:rFonts w:ascii="Calibri" w:eastAsia="Times New Roman" w:hAnsi="Calibri" w:cs="Times New Roman"/>
                <w:color w:val="000000"/>
              </w:rPr>
            </w:pPr>
            <w:r w:rsidRPr="00756E17">
              <w:rPr>
                <w:rFonts w:ascii="Calibri" w:eastAsia="Times New Roman" w:hAnsi="Calibri" w:cs="Times New Roman"/>
                <w:color w:val="000000"/>
              </w:rPr>
              <w:t>Secure the area by locking doors, posting signage and guarding the area to keep people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756E17">
              <w:rPr>
                <w:rFonts w:ascii="Calibri" w:eastAsia="Times New Roman" w:hAnsi="Calibri" w:cs="Times New Roman"/>
                <w:color w:val="000000"/>
              </w:rPr>
              <w:t>out of the space.</w:t>
            </w:r>
          </w:p>
          <w:p w14:paraId="0F65785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For assistance, contact MSU's Biosafety Officer (406-994-</w:t>
            </w:r>
            <w:r>
              <w:rPr>
                <w:rFonts w:ascii="Calibri" w:eastAsia="Times New Roman" w:hAnsi="Calibri" w:cs="Times New Roman"/>
                <w:color w:val="000000"/>
              </w:rPr>
              <w:t>6733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) or Safety and Risk Management (406-994-2711).</w:t>
            </w:r>
          </w:p>
        </w:tc>
      </w:tr>
    </w:tbl>
    <w:p w14:paraId="02A8628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CC8282F" w14:textId="77777777" w:rsidTr="00870ED9">
        <w:trPr>
          <w:trHeight w:val="326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18A06826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EXPOSURE PROCEDURES</w:t>
            </w:r>
          </w:p>
        </w:tc>
      </w:tr>
      <w:tr w:rsidR="00870ED9" w:rsidRPr="00E9662C" w14:paraId="5B891038" w14:textId="77777777" w:rsidTr="00870ED9">
        <w:trPr>
          <w:trHeight w:val="466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A7DA0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Mucous membrane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221D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Flush eyes, mouth</w:t>
            </w:r>
            <w:r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 xml:space="preserve"> or nose for 5 minutes at eyewash station.</w:t>
            </w:r>
          </w:p>
        </w:tc>
      </w:tr>
      <w:tr w:rsidR="00870ED9" w:rsidRPr="00E9662C" w14:paraId="150EE9C7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00963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Other Exposures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4FB07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Wash area with soap and water for 5 minutes.</w:t>
            </w:r>
          </w:p>
        </w:tc>
      </w:tr>
      <w:tr w:rsidR="00870ED9" w:rsidRPr="00E9662C" w14:paraId="4074E094" w14:textId="77777777" w:rsidTr="00870ED9">
        <w:trPr>
          <w:trHeight w:val="70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B2D8A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Reporting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EF474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F6A4B">
              <w:rPr>
                <w:rFonts w:ascii="Calibri" w:eastAsia="Times New Roman" w:hAnsi="Calibri" w:cs="Times New Roman"/>
                <w:color w:val="000000"/>
              </w:rPr>
              <w:t>Immediately report inc</w:t>
            </w:r>
            <w:r>
              <w:rPr>
                <w:rFonts w:ascii="Calibri" w:eastAsia="Times New Roman" w:hAnsi="Calibri" w:cs="Times New Roman"/>
                <w:color w:val="000000"/>
              </w:rPr>
              <w:t>ident to supervisor, complete a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hyperlink r:id="rId11" w:history="1">
              <w:r w:rsidRPr="007A77B5">
                <w:rPr>
                  <w:rStyle w:val="Hyperlink"/>
                  <w:rFonts w:ascii="Calibri" w:eastAsia="Times New Roman" w:hAnsi="Calibri" w:cs="Times New Roman"/>
                </w:rPr>
                <w:t>First Report of Injury</w:t>
              </w:r>
            </w:hyperlink>
            <w:r w:rsidRPr="003F6A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f</w:t>
            </w:r>
            <w:r>
              <w:rPr>
                <w:color w:val="000000"/>
              </w:rPr>
              <w:t>orm</w:t>
            </w:r>
            <w:r w:rsidRPr="003F6A4B">
              <w:rPr>
                <w:rFonts w:ascii="Calibri" w:eastAsia="Times New Roman" w:hAnsi="Calibri" w:cs="Times New Roman"/>
                <w:color w:val="000000"/>
              </w:rPr>
              <w:t>, and submit to Safety and Risk Management.</w:t>
            </w:r>
          </w:p>
        </w:tc>
      </w:tr>
      <w:tr w:rsidR="00870ED9" w:rsidRPr="00E9662C" w14:paraId="773E6B71" w14:textId="77777777" w:rsidTr="00870ED9">
        <w:trPr>
          <w:trHeight w:val="233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870D2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Medical Follow-up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D0713" w14:textId="77777777" w:rsidR="00870ED9" w:rsidRPr="00B02225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 w:rsidRPr="00B02225"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During business hours:</w:t>
            </w:r>
          </w:p>
          <w:p w14:paraId="61B5351F" w14:textId="617A0575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D6ADC">
              <w:rPr>
                <w:rFonts w:ascii="Calibri" w:eastAsia="Times New Roman" w:hAnsi="Calibri" w:cs="Times New Roman"/>
                <w:color w:val="000000"/>
              </w:rPr>
              <w:t>Bridger Occupational Health 340</w:t>
            </w:r>
            <w:r w:rsidR="003667F2"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FD6ADC">
              <w:rPr>
                <w:rFonts w:ascii="Calibri" w:eastAsia="Times New Roman" w:hAnsi="Calibri" w:cs="Times New Roman"/>
                <w:color w:val="000000"/>
              </w:rPr>
              <w:t xml:space="preserve"> Laramie Drive Weekdays 8am -6pm.  Weekends 9am-5pm</w:t>
            </w:r>
          </w:p>
          <w:p w14:paraId="3437E025" w14:textId="7B9A2ADB" w:rsidR="003667F2" w:rsidRDefault="00D30E6E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30E6E">
              <w:rPr>
                <w:rFonts w:ascii="Calibri" w:eastAsia="Times New Roman" w:hAnsi="Calibri" w:cs="Times New Roman"/>
                <w:color w:val="000000"/>
              </w:rPr>
              <w:t>406-577-7674</w:t>
            </w:r>
          </w:p>
          <w:p w14:paraId="7BB6A803" w14:textId="77777777" w:rsidR="00D30E6E" w:rsidRDefault="00D30E6E" w:rsidP="009D389D">
            <w:pPr>
              <w:spacing w:after="0" w:line="240" w:lineRule="auto"/>
              <w:rPr>
                <w:color w:val="000000"/>
              </w:rPr>
            </w:pPr>
          </w:p>
          <w:p w14:paraId="18D7BBA1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u w:val="single"/>
              </w:rPr>
              <w:t>After business hours:</w:t>
            </w:r>
          </w:p>
          <w:p w14:paraId="2745D925" w14:textId="77777777" w:rsidR="00870ED9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Bozeman Deaconess Hospital Emergency Room</w:t>
            </w:r>
          </w:p>
          <w:p w14:paraId="3DA8291F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915 Highland Blvd</w:t>
            </w:r>
          </w:p>
        </w:tc>
      </w:tr>
    </w:tbl>
    <w:p w14:paraId="6C947EE6" w14:textId="77777777" w:rsidR="00870ED9" w:rsidRDefault="00870ED9" w:rsidP="00A87A27">
      <w:pPr>
        <w:pStyle w:val="NoSpacing"/>
      </w:pPr>
    </w:p>
    <w:tbl>
      <w:tblPr>
        <w:tblW w:w="10890" w:type="dxa"/>
        <w:tblInd w:w="-5" w:type="dxa"/>
        <w:tblLook w:val="04A0" w:firstRow="1" w:lastRow="0" w:firstColumn="1" w:lastColumn="0" w:noHBand="0" w:noVBand="1"/>
      </w:tblPr>
      <w:tblGrid>
        <w:gridCol w:w="2160"/>
        <w:gridCol w:w="8730"/>
      </w:tblGrid>
      <w:tr w:rsidR="00870ED9" w:rsidRPr="00E9662C" w14:paraId="552D3010" w14:textId="77777777" w:rsidTr="00870ED9">
        <w:trPr>
          <w:trHeight w:val="350"/>
        </w:trPr>
        <w:tc>
          <w:tcPr>
            <w:tcW w:w="10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2F75B5"/>
            <w:noWrap/>
            <w:vAlign w:val="bottom"/>
            <w:hideMark/>
          </w:tcPr>
          <w:p w14:paraId="7586F335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</w:pPr>
            <w:r w:rsidRPr="00E9662C">
              <w:rPr>
                <w:rFonts w:ascii="Calibri" w:eastAsia="Times New Roman" w:hAnsi="Calibri" w:cs="Times New Roman"/>
                <w:b/>
                <w:bCs/>
                <w:color w:val="FFFFFF"/>
                <w:sz w:val="32"/>
                <w:szCs w:val="32"/>
              </w:rPr>
              <w:t>PERSONAL PROTECTIVE EQUIPMENT (PPE)</w:t>
            </w:r>
          </w:p>
        </w:tc>
      </w:tr>
      <w:tr w:rsidR="00870ED9" w:rsidRPr="00E9662C" w14:paraId="557D1111" w14:textId="77777777" w:rsidTr="00870ED9">
        <w:trPr>
          <w:trHeight w:val="620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9C0BC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Minimum PPE Requirements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DD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Lab coat, disposable gloves, safety glasses, closed toed shoes, long pants</w:t>
            </w:r>
          </w:p>
        </w:tc>
      </w:tr>
      <w:tr w:rsidR="00870ED9" w:rsidRPr="00E9662C" w14:paraId="3B37CD47" w14:textId="77777777" w:rsidTr="00870ED9">
        <w:trPr>
          <w:trHeight w:val="638"/>
        </w:trPr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49018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Precautions</w:t>
            </w:r>
          </w:p>
        </w:tc>
        <w:tc>
          <w:tcPr>
            <w:tcW w:w="8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8B72B" w14:textId="77777777" w:rsidR="00870ED9" w:rsidRPr="00E9662C" w:rsidRDefault="00870ED9" w:rsidP="009D38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9662C">
              <w:rPr>
                <w:rFonts w:ascii="Calibri" w:eastAsia="Times New Roman" w:hAnsi="Calibri" w:cs="Times New Roman"/>
                <w:color w:val="000000"/>
              </w:rPr>
              <w:t>Additional PPE may be required depending on lab specific SOPs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and IBC Protocol</w:t>
            </w:r>
            <w:r w:rsidRPr="00E9662C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</w:tbl>
    <w:p w14:paraId="14DCC3E8" w14:textId="77777777" w:rsidR="008A31E9" w:rsidRDefault="008A31E9" w:rsidP="00A87A27">
      <w:pPr>
        <w:pStyle w:val="NoSpacing"/>
        <w:sectPr w:rsidR="008A31E9" w:rsidSect="008A31E9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C2781E" w14:textId="77777777" w:rsidR="00870ED9" w:rsidRDefault="00870ED9" w:rsidP="00A87A27">
      <w:pPr>
        <w:pStyle w:val="NoSpacing"/>
      </w:pPr>
    </w:p>
    <w:sectPr w:rsidR="00870ED9" w:rsidSect="008A31E9">
      <w:type w:val="continuous"/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69C80" w14:textId="77777777" w:rsidR="00A87A27" w:rsidRDefault="00A87A27" w:rsidP="00A87A27">
      <w:pPr>
        <w:spacing w:after="0" w:line="240" w:lineRule="auto"/>
      </w:pPr>
      <w:r>
        <w:separator/>
      </w:r>
    </w:p>
  </w:endnote>
  <w:endnote w:type="continuationSeparator" w:id="0">
    <w:p w14:paraId="3E9A0655" w14:textId="77777777" w:rsidR="00A87A27" w:rsidRDefault="00A87A27" w:rsidP="00A87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51C43" w14:textId="77777777" w:rsidR="00A87A27" w:rsidRDefault="00A87A27" w:rsidP="00A87A27">
      <w:pPr>
        <w:spacing w:after="0" w:line="240" w:lineRule="auto"/>
      </w:pPr>
      <w:r>
        <w:separator/>
      </w:r>
    </w:p>
  </w:footnote>
  <w:footnote w:type="continuationSeparator" w:id="0">
    <w:p w14:paraId="71780570" w14:textId="77777777" w:rsidR="00A87A27" w:rsidRDefault="00A87A27" w:rsidP="00A87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6739A" w14:textId="2E7A8EBD" w:rsidR="00A87A27" w:rsidRDefault="006E6036" w:rsidP="00A87A27">
    <w:pPr>
      <w:pStyle w:val="Header"/>
      <w:tabs>
        <w:tab w:val="clear" w:pos="9360"/>
        <w:tab w:val="right" w:pos="10800"/>
      </w:tabs>
      <w:rPr>
        <w:b/>
        <w:bCs/>
        <w:color w:val="0070C0"/>
        <w:sz w:val="32"/>
        <w:szCs w:val="32"/>
      </w:rPr>
    </w:pPr>
    <w:r w:rsidRPr="00E9662C">
      <w:rPr>
        <w:noProof/>
        <w:color w:val="2B579A"/>
        <w:shd w:val="clear" w:color="auto" w:fill="E6E6E6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45E01E1" wp14:editId="3EE50E70">
              <wp:simplePos x="0" y="0"/>
              <wp:positionH relativeFrom="page">
                <wp:posOffset>2552700</wp:posOffset>
              </wp:positionH>
              <wp:positionV relativeFrom="paragraph">
                <wp:posOffset>-251460</wp:posOffset>
              </wp:positionV>
              <wp:extent cx="1671955" cy="741045"/>
              <wp:effectExtent l="0" t="0" r="4445" b="209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71955" cy="741045"/>
                        <a:chOff x="3930" y="-69"/>
                        <a:chExt cx="2633" cy="1167"/>
                      </a:xfrm>
                    </wpg:grpSpPr>
                    <wpg:grpSp>
                      <wpg:cNvPr id="2" name="Group 4"/>
                      <wpg:cNvGrpSpPr>
                        <a:grpSpLocks/>
                      </wpg:cNvGrpSpPr>
                      <wpg:grpSpPr bwMode="auto">
                        <a:xfrm>
                          <a:off x="3930" y="-69"/>
                          <a:ext cx="2633" cy="1167"/>
                          <a:chOff x="3930" y="-69"/>
                          <a:chExt cx="2633" cy="1167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3930" y="93"/>
                            <a:ext cx="7" cy="1005"/>
                          </a:xfrm>
                          <a:custGeom>
                            <a:avLst/>
                            <a:gdLst>
                              <a:gd name="T0" fmla="+- 0 3930 3930"/>
                              <a:gd name="T1" fmla="*/ T0 w 7"/>
                              <a:gd name="T2" fmla="+- 0 93 93"/>
                              <a:gd name="T3" fmla="*/ 93 h 1005"/>
                              <a:gd name="T4" fmla="+- 0 3937 3930"/>
                              <a:gd name="T5" fmla="*/ T4 w 7"/>
                              <a:gd name="T6" fmla="+- 0 1098 93"/>
                              <a:gd name="T7" fmla="*/ 1098 h 100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7" h="1005">
                                <a:moveTo>
                                  <a:pt x="0" y="0"/>
                                </a:moveTo>
                                <a:lnTo>
                                  <a:pt x="7" y="1005"/>
                                </a:lnTo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6" y="351"/>
                            <a:ext cx="2419" cy="6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22" y="-69"/>
                            <a:ext cx="2441" cy="1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D64CC0" w14:textId="77777777" w:rsidR="00A87A27" w:rsidRDefault="00A87A27" w:rsidP="00A87A27">
                              <w:pPr>
                                <w:spacing w:before="5"/>
                                <w:rPr>
                                  <w:rFonts w:ascii="Calibri" w:eastAsia="Calibri" w:hAnsi="Calibri" w:cs="Calibri"/>
                                  <w:i/>
                                </w:rPr>
                              </w:pPr>
                            </w:p>
                            <w:p w14:paraId="66017339" w14:textId="77777777" w:rsidR="006E6036" w:rsidRPr="00FD7764" w:rsidRDefault="006E6036" w:rsidP="006E6036">
                              <w:pPr>
                                <w:pStyle w:val="NoSpacing"/>
                                <w:rPr>
                                  <w:rFonts w:ascii="Calibri" w:eastAsia="Calibri" w:hAnsi="Calibri" w:cs="Calibri"/>
                                </w:rPr>
                              </w:pPr>
                              <w:r w:rsidRPr="00FD7764">
                                <w:rPr>
                                  <w:rFonts w:ascii="Calibri" w:hAnsi="Calibri" w:cs="Calibri"/>
                                  <w:spacing w:val="-2"/>
                                </w:rPr>
                                <w:t>Research</w:t>
                              </w:r>
                              <w:r w:rsidRPr="00FD7764">
                                <w:rPr>
                                  <w:rFonts w:ascii="Calibri" w:hAnsi="Calibri" w:cs="Calibri"/>
                                </w:rPr>
                                <w:t xml:space="preserve"> Integrity &amp; Compliance</w:t>
                              </w:r>
                            </w:p>
                            <w:p w14:paraId="2C4B13CE" w14:textId="58E861EC" w:rsidR="00A87A27" w:rsidRDefault="00A87A27" w:rsidP="006E6036">
                              <w:pPr>
                                <w:ind w:left="165" w:right="503"/>
                                <w:rPr>
                                  <w:rFonts w:ascii="Calibri" w:eastAsia="Calibri" w:hAnsi="Calibri" w:cs="Calibri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E01E1" id="Group 1" o:spid="_x0000_s1026" style="position:absolute;margin-left:201pt;margin-top:-19.8pt;width:131.65pt;height:58.35pt;z-index:251661312;mso-position-horizontal-relative:page" coordorigin="3930,-69" coordsize="2633,11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">
              <v:group id="Group 4" o:spid="_x0000_s1027" style="position:absolute;left:3930;top:-69;width:2633;height:1167" coordorigin="3930,-69" coordsize="2633,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shape id="Freeform 5" o:spid="_x0000_s1028" style="position:absolute;left:3930;top:93;width:7;height:1005;visibility:visible;mso-wrap-style:square;v-text-anchor:top" coordsize="7,1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" path="m,l7,1005e" filled="f" strokeweight="1.56pt">
                  <v:path arrowok="t" o:connecttype="custom" o:connectlocs="0,93;7,1098" o:connectangles="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9" type="#_x0000_t75" style="position:absolute;left:3936;top:351;width:2419;height:6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">
                  <v:imagedata r:id="rId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30" type="#_x0000_t202" style="position:absolute;left:4122;top:-69;width:2441;height:10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4D64CC0" w14:textId="77777777" w:rsidR="00A87A27" w:rsidRDefault="00A87A27" w:rsidP="00A87A27">
                        <w:pPr>
                          <w:spacing w:before="5"/>
                          <w:rPr>
                            <w:rFonts w:ascii="Calibri" w:eastAsia="Calibri" w:hAnsi="Calibri" w:cs="Calibri"/>
                            <w:i/>
                          </w:rPr>
                        </w:pPr>
                      </w:p>
                      <w:p w14:paraId="66017339" w14:textId="77777777" w:rsidR="006E6036" w:rsidRPr="00FD7764" w:rsidRDefault="006E6036" w:rsidP="006E6036">
                        <w:pPr>
                          <w:pStyle w:val="NoSpacing"/>
                          <w:rPr>
                            <w:rFonts w:ascii="Calibri" w:eastAsia="Calibri" w:hAnsi="Calibri" w:cs="Calibri"/>
                          </w:rPr>
                        </w:pPr>
                        <w:r w:rsidRPr="00FD7764">
                          <w:rPr>
                            <w:rFonts w:ascii="Calibri" w:hAnsi="Calibri" w:cs="Calibri"/>
                            <w:spacing w:val="-2"/>
                          </w:rPr>
                          <w:t>Research</w:t>
                        </w:r>
                        <w:r w:rsidRPr="00FD7764">
                          <w:rPr>
                            <w:rFonts w:ascii="Calibri" w:hAnsi="Calibri" w:cs="Calibri"/>
                          </w:rPr>
                          <w:t xml:space="preserve"> Integrity &amp; Compliance</w:t>
                        </w:r>
                      </w:p>
                      <w:p w14:paraId="2C4B13CE" w14:textId="58E861EC" w:rsidR="00A87A27" w:rsidRDefault="00A87A27" w:rsidP="006E6036">
                        <w:pPr>
                          <w:ind w:left="165" w:right="50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  <w10:wrap anchorx="page"/>
            </v:group>
          </w:pict>
        </mc:Fallback>
      </mc:AlternateContent>
    </w:r>
    <w:r w:rsidR="00A87A27" w:rsidRPr="00E9662C">
      <w:rPr>
        <w:noProof/>
        <w:color w:val="2B579A"/>
        <w:shd w:val="clear" w:color="auto" w:fill="E6E6E6"/>
      </w:rPr>
      <w:drawing>
        <wp:anchor distT="0" distB="0" distL="114300" distR="114300" simplePos="0" relativeHeight="251659264" behindDoc="0" locked="0" layoutInCell="1" allowOverlap="1" wp14:anchorId="487D0E7E" wp14:editId="2EC2B58A">
          <wp:simplePos x="0" y="0"/>
          <wp:positionH relativeFrom="page">
            <wp:posOffset>457200</wp:posOffset>
          </wp:positionH>
          <wp:positionV relativeFrom="paragraph">
            <wp:posOffset>-152400</wp:posOffset>
          </wp:positionV>
          <wp:extent cx="1990090" cy="605155"/>
          <wp:effectExtent l="0" t="0" r="0" b="4445"/>
          <wp:wrapNone/>
          <wp:docPr id="800358975" name="Picture 800358975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ack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90" cy="6051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7A27">
      <w:tab/>
    </w:r>
    <w:r w:rsidR="00A87A27">
      <w:tab/>
    </w:r>
    <w:r w:rsidR="00A87A27" w:rsidRPr="00A87A27">
      <w:rPr>
        <w:b/>
        <w:bCs/>
        <w:color w:val="0070C0"/>
        <w:sz w:val="32"/>
        <w:szCs w:val="32"/>
      </w:rPr>
      <w:t>PATHOGEN SAFETY DATA SHEET</w:t>
    </w:r>
  </w:p>
  <w:p w14:paraId="6210024B" w14:textId="120495CB" w:rsidR="00A87A27" w:rsidRPr="00486F78" w:rsidRDefault="00A87A27" w:rsidP="00486F78">
    <w:pPr>
      <w:pStyle w:val="Header"/>
      <w:tabs>
        <w:tab w:val="clear" w:pos="9360"/>
        <w:tab w:val="right" w:pos="10800"/>
      </w:tabs>
      <w:ind w:left="5040"/>
      <w:rPr>
        <w:rFonts w:ascii="Calibri" w:hAnsi="Calibri" w:cs="Calibri"/>
        <w:color w:val="000000" w:themeColor="text1"/>
        <w:sz w:val="28"/>
        <w:szCs w:val="28"/>
      </w:rPr>
    </w:pPr>
    <w:r>
      <w:rPr>
        <w:b/>
        <w:bCs/>
        <w:color w:val="0070C0"/>
        <w:sz w:val="32"/>
        <w:szCs w:val="32"/>
      </w:rPr>
      <w:tab/>
    </w:r>
    <w:r w:rsidR="002D099C" w:rsidRPr="002D099C">
      <w:rPr>
        <w:rFonts w:ascii="Calibri" w:hAnsi="Calibri" w:cs="Calibri"/>
        <w:color w:val="000000" w:themeColor="text1"/>
        <w:sz w:val="28"/>
        <w:szCs w:val="28"/>
      </w:rPr>
      <w:t>Staphylococcus aureus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7376"/>
    <w:multiLevelType w:val="hybridMultilevel"/>
    <w:tmpl w:val="8974A7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307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27"/>
    <w:rsid w:val="00021886"/>
    <w:rsid w:val="00022DF5"/>
    <w:rsid w:val="0005422D"/>
    <w:rsid w:val="00066FB6"/>
    <w:rsid w:val="0007249A"/>
    <w:rsid w:val="00085C00"/>
    <w:rsid w:val="000A6D01"/>
    <w:rsid w:val="00104414"/>
    <w:rsid w:val="00120DBE"/>
    <w:rsid w:val="001355E0"/>
    <w:rsid w:val="0014248E"/>
    <w:rsid w:val="001845EA"/>
    <w:rsid w:val="0018540D"/>
    <w:rsid w:val="00194FD1"/>
    <w:rsid w:val="001D030D"/>
    <w:rsid w:val="001E2496"/>
    <w:rsid w:val="00205F96"/>
    <w:rsid w:val="00207B89"/>
    <w:rsid w:val="00216F34"/>
    <w:rsid w:val="00223B85"/>
    <w:rsid w:val="00223D59"/>
    <w:rsid w:val="00224F64"/>
    <w:rsid w:val="00230B6C"/>
    <w:rsid w:val="0024503D"/>
    <w:rsid w:val="002465E2"/>
    <w:rsid w:val="002561F4"/>
    <w:rsid w:val="002579B8"/>
    <w:rsid w:val="00267ACE"/>
    <w:rsid w:val="00292CB3"/>
    <w:rsid w:val="002C560B"/>
    <w:rsid w:val="002D099C"/>
    <w:rsid w:val="003575A3"/>
    <w:rsid w:val="003667F2"/>
    <w:rsid w:val="00383771"/>
    <w:rsid w:val="003C76A4"/>
    <w:rsid w:val="00407585"/>
    <w:rsid w:val="004868CE"/>
    <w:rsid w:val="00486F78"/>
    <w:rsid w:val="00494F73"/>
    <w:rsid w:val="0050488C"/>
    <w:rsid w:val="005567E3"/>
    <w:rsid w:val="00567EFE"/>
    <w:rsid w:val="00597370"/>
    <w:rsid w:val="005A619B"/>
    <w:rsid w:val="005A7AC6"/>
    <w:rsid w:val="005B63BC"/>
    <w:rsid w:val="005D0EF9"/>
    <w:rsid w:val="0063525D"/>
    <w:rsid w:val="00675DF4"/>
    <w:rsid w:val="0067681D"/>
    <w:rsid w:val="006771FE"/>
    <w:rsid w:val="006C3A59"/>
    <w:rsid w:val="006E6036"/>
    <w:rsid w:val="006F52C8"/>
    <w:rsid w:val="007547EF"/>
    <w:rsid w:val="00772B97"/>
    <w:rsid w:val="007976BE"/>
    <w:rsid w:val="007A64FD"/>
    <w:rsid w:val="007E6885"/>
    <w:rsid w:val="00801DC2"/>
    <w:rsid w:val="0081162C"/>
    <w:rsid w:val="00814DEC"/>
    <w:rsid w:val="00815F1F"/>
    <w:rsid w:val="00830E31"/>
    <w:rsid w:val="00870ED9"/>
    <w:rsid w:val="00882763"/>
    <w:rsid w:val="008A31E9"/>
    <w:rsid w:val="008E358F"/>
    <w:rsid w:val="008E5FB6"/>
    <w:rsid w:val="008F1D7A"/>
    <w:rsid w:val="008F5D65"/>
    <w:rsid w:val="00922E9E"/>
    <w:rsid w:val="00923778"/>
    <w:rsid w:val="009404AE"/>
    <w:rsid w:val="009D3928"/>
    <w:rsid w:val="009E7ED6"/>
    <w:rsid w:val="00A155B3"/>
    <w:rsid w:val="00A32FEA"/>
    <w:rsid w:val="00A56813"/>
    <w:rsid w:val="00A826EF"/>
    <w:rsid w:val="00A82908"/>
    <w:rsid w:val="00A856C8"/>
    <w:rsid w:val="00A87A27"/>
    <w:rsid w:val="00AD5747"/>
    <w:rsid w:val="00AD5E11"/>
    <w:rsid w:val="00B97716"/>
    <w:rsid w:val="00BA6747"/>
    <w:rsid w:val="00BA6830"/>
    <w:rsid w:val="00BE096F"/>
    <w:rsid w:val="00BE5624"/>
    <w:rsid w:val="00BE637B"/>
    <w:rsid w:val="00C0464B"/>
    <w:rsid w:val="00C14380"/>
    <w:rsid w:val="00C46D6E"/>
    <w:rsid w:val="00C513D2"/>
    <w:rsid w:val="00C65D9B"/>
    <w:rsid w:val="00C82D53"/>
    <w:rsid w:val="00C96654"/>
    <w:rsid w:val="00CA4737"/>
    <w:rsid w:val="00CC76FD"/>
    <w:rsid w:val="00CD045D"/>
    <w:rsid w:val="00CD7485"/>
    <w:rsid w:val="00D22C18"/>
    <w:rsid w:val="00D30E6E"/>
    <w:rsid w:val="00D91BE5"/>
    <w:rsid w:val="00D94A1E"/>
    <w:rsid w:val="00DC223D"/>
    <w:rsid w:val="00E04E97"/>
    <w:rsid w:val="00E16C9E"/>
    <w:rsid w:val="00E2486A"/>
    <w:rsid w:val="00E4043C"/>
    <w:rsid w:val="00E47624"/>
    <w:rsid w:val="00E52F2E"/>
    <w:rsid w:val="00E62C32"/>
    <w:rsid w:val="00E63FEC"/>
    <w:rsid w:val="00E66D0B"/>
    <w:rsid w:val="00E83835"/>
    <w:rsid w:val="00E914F8"/>
    <w:rsid w:val="00EC20CB"/>
    <w:rsid w:val="00F12616"/>
    <w:rsid w:val="00F25678"/>
    <w:rsid w:val="00F32F77"/>
    <w:rsid w:val="00F5581E"/>
    <w:rsid w:val="00F558EC"/>
    <w:rsid w:val="00FA0D7E"/>
    <w:rsid w:val="00FA2357"/>
    <w:rsid w:val="00F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DA77ED3"/>
  <w15:chartTrackingRefBased/>
  <w15:docId w15:val="{CC7C2F4A-32BD-4B79-B390-C42BEE700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7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7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7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7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7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7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7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7A2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87A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A27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87A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A27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70ED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D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C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p.od.nih.gov/wp-content/uploads/NIH_Guideline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dc.gov/labs/BMBL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rstreportinjury.mus.ed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nada.ca/en/public-health/services/laboratory-biosafety-biosecurity/pathogen-safety-data-sheets-risk-assessment/staphylococcus-aureus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Amy</dc:creator>
  <cp:keywords/>
  <dc:description/>
  <cp:lastModifiedBy>Robison, Amy</cp:lastModifiedBy>
  <cp:revision>3</cp:revision>
  <cp:lastPrinted>2024-04-26T14:33:00Z</cp:lastPrinted>
  <dcterms:created xsi:type="dcterms:W3CDTF">2025-05-09T21:02:00Z</dcterms:created>
  <dcterms:modified xsi:type="dcterms:W3CDTF">2025-05-09T21:09:00Z</dcterms:modified>
</cp:coreProperties>
</file>