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FC341B5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Gram-positive facultative anaerobe that is usually found in pairs or chains.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D31F" w14:textId="73BBB6F4" w:rsidR="00E2486A" w:rsidRPr="005739FE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Neonatal and newborn infections, UTIs, pneumonia,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739FE">
              <w:rPr>
                <w:rFonts w:ascii="Calibri" w:eastAsia="Times New Roman" w:hAnsi="Calibri" w:cs="Times New Roman"/>
                <w:color w:val="000000"/>
              </w:rPr>
              <w:t xml:space="preserve">soft tissue infections, 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5739FE">
              <w:rPr>
                <w:rFonts w:ascii="Calibri" w:eastAsia="Times New Roman" w:hAnsi="Calibri" w:cs="Times New Roman"/>
                <w:color w:val="000000"/>
              </w:rPr>
              <w:t>ndocarditis, osteomyelitis,</w:t>
            </w:r>
          </w:p>
          <w:p w14:paraId="7C2CB617" w14:textId="645C439F" w:rsidR="008E358F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chorioamnionitis.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0AE99BE" w:rsidR="00E2486A" w:rsidRPr="00C946D1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739FE">
              <w:rPr>
                <w:rFonts w:ascii="Calibri" w:eastAsia="Times New Roman" w:hAnsi="Calibri" w:cs="Times New Roman"/>
                <w:color w:val="000000"/>
              </w:rPr>
              <w:t>Yes;</w:t>
            </w:r>
            <w:proofErr w:type="gramEnd"/>
            <w:r w:rsidRPr="005739FE">
              <w:rPr>
                <w:rFonts w:ascii="Calibri" w:eastAsia="Times New Roman" w:hAnsi="Calibri" w:cs="Times New Roman"/>
                <w:color w:val="000000"/>
              </w:rPr>
              <w:t xml:space="preserve"> cattle to humans </w:t>
            </w:r>
            <w:proofErr w:type="gramStart"/>
            <w:r w:rsidRPr="005739FE">
              <w:rPr>
                <w:rFonts w:ascii="Calibri" w:eastAsia="Times New Roman" w:hAnsi="Calibri" w:cs="Times New Roman"/>
                <w:color w:val="000000"/>
              </w:rPr>
              <w:t>is</w:t>
            </w:r>
            <w:proofErr w:type="gramEnd"/>
            <w:r w:rsidRPr="005739FE">
              <w:rPr>
                <w:rFonts w:ascii="Calibri" w:eastAsia="Times New Roman" w:hAnsi="Calibri" w:cs="Times New Roman"/>
                <w:color w:val="000000"/>
              </w:rPr>
              <w:t xml:space="preserve"> possible although not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739FE">
              <w:rPr>
                <w:rFonts w:ascii="Calibri" w:eastAsia="Times New Roman" w:hAnsi="Calibri" w:cs="Times New Roman"/>
                <w:color w:val="000000"/>
              </w:rPr>
              <w:t>common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4180251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E2486A">
              <w:rPr>
                <w:rFonts w:ascii="Calibri" w:eastAsia="Times New Roman" w:hAnsi="Calibri" w:cs="Times New Roman"/>
                <w:color w:val="000000"/>
              </w:rPr>
              <w:t xml:space="preserve"> and animals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86DC129" w:rsidR="008E358F" w:rsidRPr="00E9662C" w:rsidRDefault="00207B89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207B89">
              <w:rPr>
                <w:rFonts w:ascii="Calibri" w:eastAsia="Times New Roman" w:hAnsi="Calibri" w:cs="Times New Roman"/>
                <w:color w:val="000000"/>
              </w:rPr>
              <w:t>irect or indirect contact with contaminated surfaces or individuals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6BA195C" w:rsidR="00E2486A" w:rsidRPr="00923778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Hand-to-mouth and aerosol transmission is common. 10-30% of women are positive in their genital tracts although the bacterium is normally a resident of the gastrointestinal tract.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C68F21D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For early onset disease, less than 7 days. For late onset disease, the incubation period is 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E2486A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0BF870A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39FE">
              <w:rPr>
                <w:rFonts w:ascii="Calibri" w:eastAsia="Times New Roman" w:hAnsi="Calibri" w:cs="Times New Roman"/>
                <w:color w:val="000000"/>
              </w:rPr>
              <w:t>Penicillin or ampicillin have been shown to reduce transmission and morbidity to the neonate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0CE5C3F" w:rsidR="00207B89" w:rsidRPr="00E9662C" w:rsidRDefault="00E2486A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>enicillin or a combination of ampicillin and an aminoglycoside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>vancomycin, ciprofloxacin, clindamycin, erythromycin, cotrimoxazole, and ceftriaxone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p w14:paraId="5A26DCEE" w14:textId="77777777" w:rsidR="00207B89" w:rsidRDefault="00207B89" w:rsidP="00A87A27">
      <w:pPr>
        <w:pStyle w:val="NoSpacing"/>
      </w:pPr>
    </w:p>
    <w:p w14:paraId="4CD484EB" w14:textId="77777777" w:rsidR="00207B89" w:rsidRDefault="00207B89" w:rsidP="00A87A27">
      <w:pPr>
        <w:pStyle w:val="NoSpacing"/>
      </w:pPr>
    </w:p>
    <w:p w14:paraId="54B0DFA6" w14:textId="77777777" w:rsidR="00207B89" w:rsidRDefault="00207B89" w:rsidP="00A87A27">
      <w:pPr>
        <w:pStyle w:val="NoSpacing"/>
      </w:pPr>
    </w:p>
    <w:p w14:paraId="05160F6E" w14:textId="77777777" w:rsidR="00207B89" w:rsidRDefault="00207B89" w:rsidP="00A87A27">
      <w:pPr>
        <w:pStyle w:val="NoSpacing"/>
      </w:pPr>
    </w:p>
    <w:p w14:paraId="407E46B9" w14:textId="77777777" w:rsidR="00207B89" w:rsidRDefault="00207B89" w:rsidP="00A87A27">
      <w:pPr>
        <w:pStyle w:val="NoSpacing"/>
      </w:pPr>
    </w:p>
    <w:p w14:paraId="57B6B9DB" w14:textId="77777777" w:rsidR="00207B89" w:rsidRDefault="00207B8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68196D9" w:rsidR="00870ED9" w:rsidRPr="00E9662C" w:rsidRDefault="00E2486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86A">
              <w:rPr>
                <w:rFonts w:ascii="Calibri" w:eastAsia="Times New Roman" w:hAnsi="Calibri" w:cs="Times New Roman"/>
                <w:color w:val="000000"/>
              </w:rPr>
              <w:t>78 laboratory-acquired infections due to </w:t>
            </w:r>
            <w:r w:rsidRPr="00E2486A">
              <w:rPr>
                <w:rFonts w:ascii="Calibri" w:eastAsia="Times New Roman" w:hAnsi="Calibri" w:cs="Times New Roman"/>
                <w:i/>
                <w:iCs/>
                <w:color w:val="000000"/>
              </w:rPr>
              <w:t>Streptococcus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> spp. were reported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B640BC3" w:rsidR="00870ED9" w:rsidRPr="00E9662C" w:rsidRDefault="00E2486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>lood, cerebrospinal fluid, joint fluid, peritoneal fluid, pleural fluid, bone, vaginal, throat and rectal cultures, aerosols and feces</w:t>
            </w:r>
            <w:r w:rsidR="000A6D01" w:rsidRPr="000A6D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F2A46F9" w:rsidR="00DC223D" w:rsidRPr="000A6D01" w:rsidRDefault="00E2486A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2486A">
              <w:rPr>
                <w:rFonts w:ascii="Calibri" w:eastAsia="Times New Roman" w:hAnsi="Calibri" w:cs="Times New Roman"/>
                <w:color w:val="000000"/>
              </w:rPr>
              <w:t>2-5% phenol, 1% sodium hypochlorite, 4% formaldehyde, 2% glutaraldehyde, 70% ethanol, 70% propanol, 2% peracetic acid, 3-6% hydrogen peroxide, and iodine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6E7AC68" w:rsidR="00DC223D" w:rsidRPr="00E9662C" w:rsidRDefault="00E2486A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>urvive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E2486A">
              <w:rPr>
                <w:rFonts w:ascii="Calibri" w:eastAsia="Times New Roman" w:hAnsi="Calibri" w:cs="Times New Roman"/>
                <w:color w:val="000000"/>
              </w:rPr>
              <w:t xml:space="preserve"> months in dry dust in buildings. It can also survive in milk at -20 ºC for 4 weeks and in fish tissues at -70ºC for at least 9 months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E2486A" w:rsidRPr="00E9662C" w14:paraId="703277AE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1533" w14:textId="4786F51A" w:rsidR="00E2486A" w:rsidRDefault="00E2486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3D0A" w14:textId="29888AE5" w:rsidR="00E2486A" w:rsidRPr="00E2486A" w:rsidRDefault="00E2486A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E2486A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https://www.canada.ca/en/public-health/services/laboratory-biosafety-biosecurity/pathogen-safety-data-sheets-risk-assessment/streptococcus-agalactiae.html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696D082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C65D9B" w:rsidRPr="00C65D9B">
      <w:rPr>
        <w:rFonts w:ascii="Calibri" w:hAnsi="Calibri" w:cs="Calibri"/>
        <w:color w:val="000000" w:themeColor="text1"/>
        <w:sz w:val="28"/>
        <w:szCs w:val="28"/>
      </w:rPr>
      <w:t>Streptococcus agalactiae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637B"/>
    <w:rsid w:val="00C0464B"/>
    <w:rsid w:val="00C14380"/>
    <w:rsid w:val="00C513D2"/>
    <w:rsid w:val="00C65D9B"/>
    <w:rsid w:val="00CA4737"/>
    <w:rsid w:val="00D30E6E"/>
    <w:rsid w:val="00D91BE5"/>
    <w:rsid w:val="00DC223D"/>
    <w:rsid w:val="00E04E97"/>
    <w:rsid w:val="00E2486A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streptococcus-agalactia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2025-05-09T15:45:00Z</dcterms:created>
  <dcterms:modified xsi:type="dcterms:W3CDTF">2025-05-09T15:50:00Z</dcterms:modified>
</cp:coreProperties>
</file>