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6764" w14:textId="5228946F" w:rsidR="006D0C07" w:rsidRPr="006D0C07" w:rsidRDefault="006D0C07" w:rsidP="006D0C07">
      <w:pPr>
        <w:jc w:val="center"/>
        <w:rPr>
          <w:rFonts w:asciiTheme="majorHAnsi" w:hAnsiTheme="majorHAnsi" w:cstheme="majorHAnsi"/>
          <w:b/>
          <w:sz w:val="28"/>
          <w:u w:val="single"/>
        </w:rPr>
      </w:pPr>
      <w:r w:rsidRPr="006D0C07">
        <w:rPr>
          <w:rFonts w:asciiTheme="majorHAnsi" w:hAnsiTheme="majorHAnsi" w:cstheme="majorHAnsi"/>
          <w:b/>
          <w:sz w:val="28"/>
          <w:u w:val="single"/>
        </w:rPr>
        <w:t xml:space="preserve">Open Source </w:t>
      </w:r>
      <w:r w:rsidR="00CE2DFC">
        <w:rPr>
          <w:rFonts w:asciiTheme="majorHAnsi" w:hAnsiTheme="majorHAnsi" w:cstheme="majorHAnsi"/>
          <w:b/>
          <w:sz w:val="28"/>
          <w:u w:val="single"/>
        </w:rPr>
        <w:t xml:space="preserve">Protocol </w:t>
      </w:r>
      <w:r w:rsidRPr="006D0C07">
        <w:rPr>
          <w:rFonts w:asciiTheme="majorHAnsi" w:hAnsiTheme="majorHAnsi" w:cstheme="majorHAnsi"/>
          <w:b/>
          <w:sz w:val="28"/>
          <w:u w:val="single"/>
        </w:rPr>
        <w:t>Mandatory Procedures Guidance</w:t>
      </w:r>
    </w:p>
    <w:p w14:paraId="30C4CFD1" w14:textId="77777777" w:rsidR="006D0C07" w:rsidRDefault="006D0C07" w:rsidP="006D0C07">
      <w:pPr>
        <w:rPr>
          <w:rFonts w:asciiTheme="majorHAnsi" w:hAnsiTheme="majorHAnsi" w:cstheme="majorHAnsi"/>
          <w:sz w:val="22"/>
        </w:rPr>
      </w:pPr>
    </w:p>
    <w:p w14:paraId="29CCC544" w14:textId="04544AC3"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 xml:space="preserve">Below is intended to provide guidance on acceptable language for addressing the associated mandatory fields in an open source radioactive material protocol. Italic statements are those that require more dynamic responses from the PI. </w:t>
      </w:r>
    </w:p>
    <w:p w14:paraId="2FB88058" w14:textId="77777777" w:rsidR="006D0C07" w:rsidRPr="006D0C07" w:rsidRDefault="006D0C07" w:rsidP="006D0C07">
      <w:pPr>
        <w:rPr>
          <w:rFonts w:asciiTheme="majorHAnsi" w:hAnsiTheme="majorHAnsi" w:cstheme="majorHAnsi"/>
          <w:b/>
          <w:sz w:val="22"/>
          <w:u w:val="single"/>
        </w:rPr>
      </w:pPr>
    </w:p>
    <w:p w14:paraId="5420841D" w14:textId="77777777" w:rsidR="006D0C07" w:rsidRPr="006D0C07" w:rsidRDefault="006D0C07" w:rsidP="006D0C07">
      <w:pPr>
        <w:rPr>
          <w:rFonts w:asciiTheme="majorHAnsi" w:hAnsiTheme="majorHAnsi" w:cstheme="majorHAnsi"/>
          <w:b/>
          <w:sz w:val="22"/>
          <w:u w:val="single"/>
        </w:rPr>
      </w:pPr>
      <w:r w:rsidRPr="006D0C07">
        <w:rPr>
          <w:rFonts w:asciiTheme="majorHAnsi" w:hAnsiTheme="majorHAnsi" w:cstheme="majorHAnsi"/>
          <w:b/>
          <w:sz w:val="22"/>
          <w:u w:val="single"/>
        </w:rPr>
        <w:t>Procedures for Ordering, Receiving and Inventorying of Radioactive Materials</w:t>
      </w:r>
    </w:p>
    <w:p w14:paraId="7E7925B2" w14:textId="77777777"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The RSO will be notified before placing an order for RAM with the isotope, activity and form of the materials. All orders are paid by the research group and sent to:</w:t>
      </w:r>
    </w:p>
    <w:p w14:paraId="08A823B7" w14:textId="77777777" w:rsidR="006D0C07" w:rsidRPr="006D0C07" w:rsidRDefault="006D0C07" w:rsidP="006D0C07">
      <w:pPr>
        <w:rPr>
          <w:rFonts w:asciiTheme="majorHAnsi" w:hAnsiTheme="majorHAnsi" w:cstheme="majorHAnsi"/>
          <w:sz w:val="22"/>
        </w:rPr>
      </w:pPr>
    </w:p>
    <w:p w14:paraId="356ED54F" w14:textId="77777777"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Attn: Radiation Safety</w:t>
      </w:r>
    </w:p>
    <w:p w14:paraId="77FA0985" w14:textId="77777777"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1160 Research Drive</w:t>
      </w:r>
    </w:p>
    <w:p w14:paraId="4E4C1AA4" w14:textId="77777777"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Bozeman, MT 59717</w:t>
      </w:r>
    </w:p>
    <w:p w14:paraId="58A6F200" w14:textId="77777777" w:rsidR="006D0C07" w:rsidRPr="006D0C07" w:rsidRDefault="006D0C07" w:rsidP="006D0C07">
      <w:pPr>
        <w:rPr>
          <w:rFonts w:asciiTheme="majorHAnsi" w:hAnsiTheme="majorHAnsi" w:cstheme="majorHAnsi"/>
          <w:sz w:val="22"/>
        </w:rPr>
      </w:pPr>
    </w:p>
    <w:p w14:paraId="179EBD79" w14:textId="77777777"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 xml:space="preserve">RAM must be received by an authorized user under this protocol. On the day of receipt of a RAM order the inventory and usage log must be updated. After receipt the RAM must remain in the line of sight of an AU or secured from unauthorized users. Outer packages in which RAM is delivered in should be removed or defaced prior to disposal.  </w:t>
      </w:r>
    </w:p>
    <w:p w14:paraId="3FD78BC5" w14:textId="77777777" w:rsidR="006D0C07" w:rsidRPr="006D0C07" w:rsidRDefault="006D0C07" w:rsidP="006D0C07">
      <w:pPr>
        <w:rPr>
          <w:rFonts w:asciiTheme="majorHAnsi" w:hAnsiTheme="majorHAnsi" w:cstheme="majorHAnsi"/>
          <w:sz w:val="22"/>
        </w:rPr>
      </w:pPr>
    </w:p>
    <w:p w14:paraId="4B19E2FA" w14:textId="77777777" w:rsidR="006D0C07" w:rsidRPr="006D0C07" w:rsidRDefault="006D0C07" w:rsidP="006D0C07">
      <w:pPr>
        <w:rPr>
          <w:rFonts w:asciiTheme="majorHAnsi" w:hAnsiTheme="majorHAnsi" w:cstheme="majorHAnsi"/>
          <w:b/>
          <w:sz w:val="22"/>
          <w:u w:val="single"/>
        </w:rPr>
      </w:pPr>
      <w:r w:rsidRPr="006D0C07">
        <w:rPr>
          <w:rFonts w:asciiTheme="majorHAnsi" w:hAnsiTheme="majorHAnsi" w:cstheme="majorHAnsi"/>
          <w:b/>
          <w:sz w:val="22"/>
          <w:u w:val="single"/>
        </w:rPr>
        <w:t>Usage and Waste Tracking</w:t>
      </w:r>
    </w:p>
    <w:p w14:paraId="3B256591" w14:textId="77777777"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 xml:space="preserve">After each day of use the usage date, authorized user performing the work, lot/order # the materials came from, activity left in storage for the associated lot/order #, total activity transferred to waste and waste distribution must be entered into the inventory and usage log. When a lot/order has been used up (activity left in storage is zero) the lot/order # will be shaded out to reflect that it is no longer stored inventory. </w:t>
      </w:r>
    </w:p>
    <w:p w14:paraId="24B62FDD" w14:textId="77777777" w:rsidR="006D0C07" w:rsidRPr="006D0C07" w:rsidRDefault="006D0C07" w:rsidP="006D0C07">
      <w:pPr>
        <w:rPr>
          <w:rFonts w:asciiTheme="majorHAnsi" w:hAnsiTheme="majorHAnsi" w:cstheme="majorHAnsi"/>
          <w:sz w:val="22"/>
        </w:rPr>
      </w:pPr>
    </w:p>
    <w:p w14:paraId="7C56EFFF" w14:textId="77777777" w:rsidR="006D0C07" w:rsidRPr="006D0C07" w:rsidRDefault="006D0C07" w:rsidP="006D0C07">
      <w:pPr>
        <w:rPr>
          <w:rFonts w:asciiTheme="majorHAnsi" w:hAnsiTheme="majorHAnsi" w:cstheme="majorHAnsi"/>
          <w:b/>
          <w:sz w:val="22"/>
          <w:u w:val="single"/>
        </w:rPr>
      </w:pPr>
      <w:r w:rsidRPr="006D0C07">
        <w:rPr>
          <w:rFonts w:asciiTheme="majorHAnsi" w:hAnsiTheme="majorHAnsi" w:cstheme="majorHAnsi"/>
          <w:b/>
          <w:sz w:val="22"/>
          <w:u w:val="single"/>
        </w:rPr>
        <w:t>Security of Materials</w:t>
      </w:r>
    </w:p>
    <w:p w14:paraId="2E420B1D" w14:textId="77777777" w:rsidR="006D0C07" w:rsidRPr="006D0C07" w:rsidRDefault="006D0C07" w:rsidP="006D0C07">
      <w:pPr>
        <w:rPr>
          <w:rFonts w:asciiTheme="majorHAnsi" w:hAnsiTheme="majorHAnsi" w:cstheme="majorHAnsi"/>
          <w:i/>
          <w:sz w:val="22"/>
        </w:rPr>
      </w:pPr>
      <w:r w:rsidRPr="006D0C07">
        <w:rPr>
          <w:rFonts w:asciiTheme="majorHAnsi" w:hAnsiTheme="majorHAnsi" w:cstheme="majorHAnsi"/>
          <w:i/>
          <w:sz w:val="22"/>
        </w:rPr>
        <w:t>10 CFR 20.1801 Security of stored material states “The licensee shall secure from unauthorized removal of or access to licensed materials that are stored in controlled or unrestricted areas.”</w:t>
      </w:r>
    </w:p>
    <w:p w14:paraId="36B12C94" w14:textId="77777777" w:rsidR="006D0C07" w:rsidRPr="006D0C07" w:rsidRDefault="006D0C07" w:rsidP="006D0C07">
      <w:pPr>
        <w:rPr>
          <w:rFonts w:asciiTheme="majorHAnsi" w:hAnsiTheme="majorHAnsi" w:cstheme="majorHAnsi"/>
          <w:i/>
          <w:sz w:val="22"/>
        </w:rPr>
      </w:pPr>
    </w:p>
    <w:p w14:paraId="460809D3" w14:textId="77777777" w:rsidR="006D0C07" w:rsidRPr="006D0C07" w:rsidRDefault="006D0C07" w:rsidP="006D0C07">
      <w:pPr>
        <w:rPr>
          <w:rFonts w:asciiTheme="majorHAnsi" w:hAnsiTheme="majorHAnsi" w:cstheme="majorHAnsi"/>
          <w:i/>
          <w:sz w:val="22"/>
        </w:rPr>
      </w:pPr>
      <w:r w:rsidRPr="006D0C07">
        <w:rPr>
          <w:rFonts w:asciiTheme="majorHAnsi" w:hAnsiTheme="majorHAnsi" w:cstheme="majorHAnsi"/>
          <w:i/>
          <w:sz w:val="22"/>
        </w:rPr>
        <w:t>10 CFR 20.1802 Control of material not in storage states “The licensee shall control and maintain constant surveillance of licensed material that is in a controlled or unrestricted area and that is not in storage.”</w:t>
      </w:r>
    </w:p>
    <w:p w14:paraId="3D6DB83F" w14:textId="77777777" w:rsidR="006D0C07" w:rsidRPr="006D0C07" w:rsidRDefault="006D0C07" w:rsidP="006D0C07">
      <w:pPr>
        <w:rPr>
          <w:rFonts w:asciiTheme="majorHAnsi" w:hAnsiTheme="majorHAnsi" w:cstheme="majorHAnsi"/>
          <w:i/>
          <w:sz w:val="22"/>
        </w:rPr>
      </w:pPr>
    </w:p>
    <w:p w14:paraId="35422580" w14:textId="77777777" w:rsidR="006D0C07" w:rsidRPr="006D0C07" w:rsidRDefault="006D0C07" w:rsidP="006D0C07">
      <w:pPr>
        <w:rPr>
          <w:rFonts w:asciiTheme="majorHAnsi" w:hAnsiTheme="majorHAnsi" w:cstheme="majorHAnsi"/>
          <w:i/>
          <w:sz w:val="22"/>
        </w:rPr>
      </w:pPr>
      <w:r w:rsidRPr="006D0C07">
        <w:rPr>
          <w:rFonts w:asciiTheme="majorHAnsi" w:hAnsiTheme="majorHAnsi" w:cstheme="majorHAnsi"/>
          <w:i/>
          <w:sz w:val="22"/>
        </w:rPr>
        <w:t xml:space="preserve">As each lab situation is unique there is no suggested wording for this section other than the verbiage used in the cited regulations. This applies to inventory storage, during usage and waste storage. Animals are not exempt from this requirement. Locks and security hasps are typical methods for securing RAM during storage. Please describe the methods used to accomplish these two requirements. </w:t>
      </w:r>
    </w:p>
    <w:p w14:paraId="45A56675" w14:textId="77777777" w:rsidR="006D0C07" w:rsidRPr="006D0C07" w:rsidRDefault="006D0C07" w:rsidP="006D0C07">
      <w:pPr>
        <w:rPr>
          <w:rFonts w:asciiTheme="majorHAnsi" w:hAnsiTheme="majorHAnsi" w:cstheme="majorHAnsi"/>
          <w:sz w:val="22"/>
        </w:rPr>
      </w:pPr>
    </w:p>
    <w:p w14:paraId="755870DD" w14:textId="77777777" w:rsidR="006D0C07" w:rsidRPr="006D0C07" w:rsidRDefault="006D0C07" w:rsidP="006D0C07">
      <w:pPr>
        <w:rPr>
          <w:rFonts w:asciiTheme="majorHAnsi" w:hAnsiTheme="majorHAnsi" w:cstheme="majorHAnsi"/>
          <w:b/>
          <w:sz w:val="22"/>
          <w:u w:val="single"/>
        </w:rPr>
      </w:pPr>
      <w:r w:rsidRPr="006D0C07">
        <w:rPr>
          <w:rFonts w:asciiTheme="majorHAnsi" w:hAnsiTheme="majorHAnsi" w:cstheme="majorHAnsi"/>
          <w:b/>
          <w:sz w:val="22"/>
          <w:u w:val="single"/>
        </w:rPr>
        <w:t>Labeling, Day of Use Contamination Surveys and Decommissioning Surveys</w:t>
      </w:r>
    </w:p>
    <w:p w14:paraId="5CEED0BC" w14:textId="77777777"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All areas (i.e. benchtop work areas, fume hood areas, sinks used for simple instrument washes) and equipment (i.e. centrifuges, beakers, pipettes, animal cages) must be labeled with words caution radioactive materials and the radiation label.</w:t>
      </w:r>
    </w:p>
    <w:p w14:paraId="50CA9F47" w14:textId="77777777" w:rsidR="006D0C07" w:rsidRPr="006D0C07" w:rsidRDefault="006D0C07" w:rsidP="006D0C07">
      <w:pPr>
        <w:rPr>
          <w:rFonts w:asciiTheme="majorHAnsi" w:hAnsiTheme="majorHAnsi" w:cstheme="majorHAnsi"/>
          <w:sz w:val="22"/>
        </w:rPr>
      </w:pPr>
    </w:p>
    <w:p w14:paraId="084D3E9D" w14:textId="620A186C"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 xml:space="preserve">After each day of use the authorized user performing the work must perform a contamination survey and record the results on the inventory and usage log. If </w:t>
      </w:r>
      <w:r w:rsidRPr="006D0C07">
        <w:rPr>
          <w:rFonts w:asciiTheme="majorHAnsi" w:hAnsiTheme="majorHAnsi" w:cstheme="majorHAnsi"/>
          <w:sz w:val="22"/>
        </w:rPr>
        <w:lastRenderedPageBreak/>
        <w:t xml:space="preserve">contamination is found, the user must attempt to clean the area to background levels. The corrective actions and results must be recorded in the inventory and usage log. If background levels were not </w:t>
      </w:r>
      <w:r w:rsidR="00575EBC" w:rsidRPr="006D0C07">
        <w:rPr>
          <w:rFonts w:asciiTheme="majorHAnsi" w:hAnsiTheme="majorHAnsi" w:cstheme="majorHAnsi"/>
          <w:sz w:val="22"/>
        </w:rPr>
        <w:t>achieved,</w:t>
      </w:r>
      <w:r w:rsidRPr="006D0C07">
        <w:rPr>
          <w:rFonts w:asciiTheme="majorHAnsi" w:hAnsiTheme="majorHAnsi" w:cstheme="majorHAnsi"/>
          <w:sz w:val="22"/>
        </w:rPr>
        <w:t xml:space="preserve"> then the RSO must be notified.</w:t>
      </w:r>
    </w:p>
    <w:p w14:paraId="1667BC05" w14:textId="77777777" w:rsidR="006D0C07" w:rsidRPr="006D0C07" w:rsidRDefault="006D0C07" w:rsidP="006D0C07">
      <w:pPr>
        <w:rPr>
          <w:rFonts w:asciiTheme="majorHAnsi" w:hAnsiTheme="majorHAnsi" w:cstheme="majorHAnsi"/>
          <w:sz w:val="22"/>
        </w:rPr>
      </w:pPr>
    </w:p>
    <w:p w14:paraId="24A4BB06" w14:textId="5DAC006F" w:rsidR="006D0C07" w:rsidRPr="006D0C07" w:rsidRDefault="002100AF" w:rsidP="006D0C07">
      <w:pPr>
        <w:rPr>
          <w:rFonts w:asciiTheme="majorHAnsi" w:hAnsiTheme="majorHAnsi" w:cstheme="majorHAnsi"/>
          <w:i/>
          <w:sz w:val="22"/>
        </w:rPr>
      </w:pPr>
      <w:r>
        <w:rPr>
          <w:rFonts w:asciiTheme="majorHAnsi" w:hAnsiTheme="majorHAnsi" w:cstheme="majorHAnsi"/>
          <w:i/>
          <w:sz w:val="22"/>
        </w:rPr>
        <w:t xml:space="preserve">The </w:t>
      </w:r>
      <w:r w:rsidR="006D0C07" w:rsidRPr="006D0C07">
        <w:rPr>
          <w:rFonts w:asciiTheme="majorHAnsi" w:hAnsiTheme="majorHAnsi" w:cstheme="majorHAnsi"/>
          <w:i/>
          <w:sz w:val="22"/>
        </w:rPr>
        <w:t xml:space="preserve">appropriate survey equipment </w:t>
      </w:r>
      <w:r>
        <w:rPr>
          <w:rFonts w:asciiTheme="majorHAnsi" w:hAnsiTheme="majorHAnsi" w:cstheme="majorHAnsi"/>
          <w:i/>
          <w:sz w:val="22"/>
        </w:rPr>
        <w:t xml:space="preserve">must be identified </w:t>
      </w:r>
      <w:r w:rsidR="006D0C07" w:rsidRPr="006D0C07">
        <w:rPr>
          <w:rFonts w:asciiTheme="majorHAnsi" w:hAnsiTheme="majorHAnsi" w:cstheme="majorHAnsi"/>
          <w:i/>
          <w:sz w:val="22"/>
        </w:rPr>
        <w:t>here (wipe tests for 3H, Geiger counter with appropriate probe)</w:t>
      </w:r>
      <w:r>
        <w:rPr>
          <w:rFonts w:asciiTheme="majorHAnsi" w:hAnsiTheme="majorHAnsi" w:cstheme="majorHAnsi"/>
          <w:i/>
          <w:sz w:val="22"/>
        </w:rPr>
        <w:t xml:space="preserve"> as well as the minimum detectable activity for the equipment and isotope.</w:t>
      </w:r>
      <w:r w:rsidR="006D0C07" w:rsidRPr="006D0C07">
        <w:rPr>
          <w:rFonts w:asciiTheme="majorHAnsi" w:hAnsiTheme="majorHAnsi" w:cstheme="majorHAnsi"/>
          <w:i/>
          <w:sz w:val="22"/>
        </w:rPr>
        <w:t xml:space="preserve"> </w:t>
      </w:r>
      <w:r>
        <w:rPr>
          <w:rFonts w:asciiTheme="majorHAnsi" w:hAnsiTheme="majorHAnsi" w:cstheme="majorHAnsi"/>
          <w:i/>
          <w:sz w:val="22"/>
        </w:rPr>
        <w:t>P</w:t>
      </w:r>
      <w:r w:rsidR="006D0C07" w:rsidRPr="006D0C07">
        <w:rPr>
          <w:rFonts w:asciiTheme="majorHAnsi" w:hAnsiTheme="majorHAnsi" w:cstheme="majorHAnsi"/>
          <w:i/>
          <w:sz w:val="22"/>
        </w:rPr>
        <w:t>lease consul</w:t>
      </w:r>
      <w:r>
        <w:rPr>
          <w:rFonts w:asciiTheme="majorHAnsi" w:hAnsiTheme="majorHAnsi" w:cstheme="majorHAnsi"/>
          <w:i/>
          <w:sz w:val="22"/>
        </w:rPr>
        <w:t>t with the RSO for this information.</w:t>
      </w:r>
    </w:p>
    <w:p w14:paraId="5EA7994A" w14:textId="77777777" w:rsidR="006D0C07" w:rsidRPr="006D0C07" w:rsidRDefault="006D0C07" w:rsidP="006D0C07">
      <w:pPr>
        <w:rPr>
          <w:rFonts w:asciiTheme="majorHAnsi" w:hAnsiTheme="majorHAnsi" w:cstheme="majorHAnsi"/>
          <w:i/>
          <w:sz w:val="22"/>
        </w:rPr>
      </w:pPr>
    </w:p>
    <w:p w14:paraId="5EB089FE" w14:textId="14F1EE12" w:rsidR="006D0C07" w:rsidRPr="006D0C07" w:rsidRDefault="006D0C07" w:rsidP="006D0C07">
      <w:pPr>
        <w:rPr>
          <w:rFonts w:asciiTheme="majorHAnsi" w:hAnsiTheme="majorHAnsi" w:cstheme="majorHAnsi"/>
          <w:sz w:val="22"/>
        </w:rPr>
      </w:pPr>
      <w:r w:rsidRPr="006D0C07">
        <w:rPr>
          <w:rFonts w:asciiTheme="majorHAnsi" w:hAnsiTheme="majorHAnsi" w:cstheme="majorHAnsi"/>
          <w:sz w:val="22"/>
        </w:rPr>
        <w:t>Decommissioning, or the process of clearing an area or equipment after radioactive material use has occurred</w:t>
      </w:r>
      <w:r w:rsidR="00575EBC">
        <w:rPr>
          <w:rFonts w:asciiTheme="majorHAnsi" w:hAnsiTheme="majorHAnsi" w:cstheme="majorHAnsi"/>
          <w:sz w:val="22"/>
        </w:rPr>
        <w:t>,</w:t>
      </w:r>
      <w:r w:rsidRPr="006D0C07">
        <w:rPr>
          <w:rFonts w:asciiTheme="majorHAnsi" w:hAnsiTheme="majorHAnsi" w:cstheme="majorHAnsi"/>
          <w:sz w:val="22"/>
        </w:rPr>
        <w:t xml:space="preserve"> must be done by radiation safety personnel. </w:t>
      </w:r>
    </w:p>
    <w:p w14:paraId="35AAB482" w14:textId="77777777" w:rsidR="006D0C07" w:rsidRPr="006D0C07" w:rsidRDefault="006D0C07" w:rsidP="006D0C07">
      <w:pPr>
        <w:rPr>
          <w:rFonts w:asciiTheme="majorHAnsi" w:hAnsiTheme="majorHAnsi" w:cstheme="majorHAnsi"/>
          <w:sz w:val="22"/>
        </w:rPr>
      </w:pPr>
    </w:p>
    <w:p w14:paraId="70DBB3E5" w14:textId="77777777" w:rsidR="006D0C07" w:rsidRPr="006D0C07" w:rsidRDefault="006D0C07" w:rsidP="006D0C07">
      <w:pPr>
        <w:rPr>
          <w:rFonts w:asciiTheme="majorHAnsi" w:hAnsiTheme="majorHAnsi" w:cstheme="majorHAnsi"/>
          <w:b/>
          <w:sz w:val="22"/>
          <w:u w:val="single"/>
        </w:rPr>
      </w:pPr>
      <w:r w:rsidRPr="006D0C07">
        <w:rPr>
          <w:rFonts w:asciiTheme="majorHAnsi" w:hAnsiTheme="majorHAnsi" w:cstheme="majorHAnsi"/>
          <w:b/>
          <w:sz w:val="22"/>
          <w:u w:val="single"/>
        </w:rPr>
        <w:t>Volatility of Radioactive Materials</w:t>
      </w:r>
    </w:p>
    <w:p w14:paraId="37913BC6" w14:textId="77777777" w:rsidR="006D0C07" w:rsidRPr="006D0C07" w:rsidRDefault="006D0C07" w:rsidP="006D0C07">
      <w:pPr>
        <w:rPr>
          <w:rFonts w:asciiTheme="majorHAnsi" w:hAnsiTheme="majorHAnsi" w:cstheme="majorHAnsi"/>
          <w:sz w:val="22"/>
        </w:rPr>
      </w:pPr>
      <w:r w:rsidRPr="006D0C07">
        <w:rPr>
          <w:rFonts w:asciiTheme="majorHAnsi" w:hAnsiTheme="majorHAnsi" w:cstheme="majorHAnsi"/>
          <w:i/>
          <w:sz w:val="22"/>
        </w:rPr>
        <w:t xml:space="preserve">The PI must answer the question of whether there will be volatile radioactive materials. If not, justification is required. If there will be, the most common mitigation would be that all work is performed in a good quality chemical fume hood. </w:t>
      </w:r>
    </w:p>
    <w:p w14:paraId="2AE09457" w14:textId="77777777" w:rsidR="002B41EC" w:rsidRDefault="002B41EC" w:rsidP="00D97EFF">
      <w:pPr>
        <w:rPr>
          <w:rFonts w:asciiTheme="majorHAnsi" w:hAnsiTheme="majorHAnsi" w:cstheme="majorHAnsi"/>
          <w:sz w:val="22"/>
        </w:rPr>
      </w:pPr>
    </w:p>
    <w:p w14:paraId="28BC7AE1" w14:textId="6D608523" w:rsidR="002B41EC" w:rsidRDefault="002B41EC" w:rsidP="00D97EFF">
      <w:pPr>
        <w:rPr>
          <w:rFonts w:asciiTheme="majorHAnsi" w:hAnsiTheme="majorHAnsi" w:cstheme="majorHAnsi"/>
          <w:sz w:val="22"/>
        </w:rPr>
      </w:pPr>
      <w:r>
        <w:rPr>
          <w:rFonts w:asciiTheme="majorHAnsi" w:hAnsiTheme="majorHAnsi" w:cstheme="majorHAnsi"/>
          <w:sz w:val="22"/>
        </w:rPr>
        <w:t xml:space="preserve"> </w:t>
      </w:r>
    </w:p>
    <w:p w14:paraId="381B233A" w14:textId="6F88340D" w:rsidR="00D97EFF" w:rsidRDefault="00D97EFF" w:rsidP="00D97EFF">
      <w:pPr>
        <w:rPr>
          <w:rFonts w:asciiTheme="majorHAnsi" w:hAnsiTheme="majorHAnsi" w:cstheme="majorHAnsi"/>
          <w:sz w:val="22"/>
        </w:rPr>
      </w:pPr>
    </w:p>
    <w:p w14:paraId="0A9F342B" w14:textId="18A11444" w:rsidR="00D97EFF" w:rsidRDefault="00D97EFF" w:rsidP="00D97EFF">
      <w:pPr>
        <w:rPr>
          <w:rFonts w:asciiTheme="majorHAnsi" w:hAnsiTheme="majorHAnsi" w:cstheme="majorHAnsi"/>
          <w:sz w:val="22"/>
        </w:rPr>
      </w:pPr>
    </w:p>
    <w:p w14:paraId="7693227B" w14:textId="77777777" w:rsidR="00D97EFF" w:rsidRPr="00D97EFF" w:rsidRDefault="00D97EFF" w:rsidP="00D97EFF">
      <w:pPr>
        <w:rPr>
          <w:rFonts w:asciiTheme="majorHAnsi" w:hAnsiTheme="majorHAnsi" w:cstheme="majorHAnsi"/>
          <w:sz w:val="28"/>
        </w:rPr>
      </w:pPr>
    </w:p>
    <w:p w14:paraId="43D24B9D" w14:textId="77777777" w:rsidR="0025581C" w:rsidRPr="008132B5" w:rsidRDefault="0025581C" w:rsidP="008132B5">
      <w:pPr>
        <w:rPr>
          <w:rFonts w:asciiTheme="majorHAnsi" w:hAnsiTheme="majorHAnsi" w:cstheme="majorHAnsi"/>
        </w:rPr>
      </w:pPr>
    </w:p>
    <w:p w14:paraId="482E825B" w14:textId="77777777" w:rsidR="00F86713" w:rsidRPr="00F86713" w:rsidRDefault="00F86713" w:rsidP="00F86713">
      <w:pPr>
        <w:rPr>
          <w:rFonts w:asciiTheme="majorHAnsi" w:hAnsiTheme="majorHAnsi" w:cstheme="majorHAnsi"/>
          <w:b/>
          <w:u w:val="single"/>
        </w:rPr>
      </w:pPr>
    </w:p>
    <w:sectPr w:rsidR="00F86713" w:rsidRPr="00F86713" w:rsidSect="00A261A7">
      <w:headerReference w:type="first" r:id="rId8"/>
      <w:pgSz w:w="12240" w:h="15840"/>
      <w:pgMar w:top="1296" w:right="1440" w:bottom="1440" w:left="28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C3BE4" w14:textId="77777777" w:rsidR="0004517D" w:rsidRDefault="0004517D" w:rsidP="00A261A7">
      <w:r>
        <w:separator/>
      </w:r>
    </w:p>
  </w:endnote>
  <w:endnote w:type="continuationSeparator" w:id="0">
    <w:p w14:paraId="7E912FAF" w14:textId="77777777" w:rsidR="0004517D" w:rsidRDefault="0004517D" w:rsidP="00A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32B4D" w14:textId="77777777" w:rsidR="0004517D" w:rsidRDefault="0004517D" w:rsidP="00A261A7">
      <w:r>
        <w:separator/>
      </w:r>
    </w:p>
  </w:footnote>
  <w:footnote w:type="continuationSeparator" w:id="0">
    <w:p w14:paraId="136555D1" w14:textId="77777777" w:rsidR="0004517D" w:rsidRDefault="0004517D" w:rsidP="00A2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85D4" w14:textId="2345A7FD" w:rsidR="00A261A7" w:rsidRDefault="00F1408E">
    <w:pPr>
      <w:pStyle w:val="Header"/>
    </w:pPr>
    <w:r>
      <w:rPr>
        <w:noProof/>
      </w:rPr>
      <w:drawing>
        <wp:anchor distT="0" distB="0" distL="114300" distR="114300" simplePos="0" relativeHeight="251658240" behindDoc="1" locked="1" layoutInCell="0" allowOverlap="1" wp14:anchorId="43F65C79" wp14:editId="76A3AA7F">
          <wp:simplePos x="0" y="0"/>
          <wp:positionH relativeFrom="page">
            <wp:posOffset>228600</wp:posOffset>
          </wp:positionH>
          <wp:positionV relativeFrom="page">
            <wp:posOffset>228600</wp:posOffset>
          </wp:positionV>
          <wp:extent cx="1353312" cy="94548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ComplianceEL.BMP"/>
                  <pic:cNvPicPr/>
                </pic:nvPicPr>
                <pic:blipFill>
                  <a:blip r:embed="rId1">
                    <a:extLst>
                      <a:ext uri="{28A0092B-C50C-407E-A947-70E740481C1C}">
                        <a14:useLocalDpi xmlns:a14="http://schemas.microsoft.com/office/drawing/2010/main" val="0"/>
                      </a:ext>
                    </a:extLst>
                  </a:blip>
                  <a:stretch>
                    <a:fillRect/>
                  </a:stretch>
                </pic:blipFill>
                <pic:spPr>
                  <a:xfrm>
                    <a:off x="0" y="0"/>
                    <a:ext cx="1353312" cy="94548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E25C9"/>
    <w:multiLevelType w:val="hybridMultilevel"/>
    <w:tmpl w:val="7226B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E1746"/>
    <w:multiLevelType w:val="hybridMultilevel"/>
    <w:tmpl w:val="2FAA16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F05CAE"/>
    <w:multiLevelType w:val="hybridMultilevel"/>
    <w:tmpl w:val="8A20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44EB1"/>
    <w:multiLevelType w:val="hybridMultilevel"/>
    <w:tmpl w:val="DDB279D0"/>
    <w:lvl w:ilvl="0" w:tplc="9752BB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05772"/>
    <w:multiLevelType w:val="hybridMultilevel"/>
    <w:tmpl w:val="CE1EEE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DFD7E44"/>
    <w:multiLevelType w:val="hybridMultilevel"/>
    <w:tmpl w:val="7D76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31F532BA"/>
    <w:multiLevelType w:val="hybridMultilevel"/>
    <w:tmpl w:val="EAFA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8060D8"/>
    <w:multiLevelType w:val="hybridMultilevel"/>
    <w:tmpl w:val="F56CB1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39DC74C5"/>
    <w:multiLevelType w:val="hybridMultilevel"/>
    <w:tmpl w:val="1A801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B613144"/>
    <w:multiLevelType w:val="hybridMultilevel"/>
    <w:tmpl w:val="881C09F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3DD13523"/>
    <w:multiLevelType w:val="hybridMultilevel"/>
    <w:tmpl w:val="932A2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47493"/>
    <w:multiLevelType w:val="hybridMultilevel"/>
    <w:tmpl w:val="FA121D7E"/>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2" w15:restartNumberingAfterBreak="0">
    <w:nsid w:val="45D835CF"/>
    <w:multiLevelType w:val="hybridMultilevel"/>
    <w:tmpl w:val="0626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B34A3"/>
    <w:multiLevelType w:val="hybridMultilevel"/>
    <w:tmpl w:val="445C01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46A83"/>
    <w:multiLevelType w:val="hybridMultilevel"/>
    <w:tmpl w:val="AD2A9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144985"/>
    <w:multiLevelType w:val="hybridMultilevel"/>
    <w:tmpl w:val="836C603C"/>
    <w:lvl w:ilvl="0" w:tplc="9752BB60">
      <w:start w:val="1"/>
      <w:numFmt w:val="upperLetter"/>
      <w:lvlText w:val="%1&gt;"/>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568F0530"/>
    <w:multiLevelType w:val="hybridMultilevel"/>
    <w:tmpl w:val="7768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03E92"/>
    <w:multiLevelType w:val="hybridMultilevel"/>
    <w:tmpl w:val="40E4F46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68455E67"/>
    <w:multiLevelType w:val="hybridMultilevel"/>
    <w:tmpl w:val="CD2C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338DB"/>
    <w:multiLevelType w:val="hybridMultilevel"/>
    <w:tmpl w:val="DA2C70E6"/>
    <w:lvl w:ilvl="0" w:tplc="9752BB60">
      <w:start w:val="1"/>
      <w:numFmt w:val="upperLetter"/>
      <w:lvlText w:val="%1&gt;"/>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0" w15:restartNumberingAfterBreak="0">
    <w:nsid w:val="7C701CA9"/>
    <w:multiLevelType w:val="hybridMultilevel"/>
    <w:tmpl w:val="5E2C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484607">
    <w:abstractNumId w:val="0"/>
  </w:num>
  <w:num w:numId="2" w16cid:durableId="12416862">
    <w:abstractNumId w:val="5"/>
  </w:num>
  <w:num w:numId="3" w16cid:durableId="1502163768">
    <w:abstractNumId w:val="2"/>
  </w:num>
  <w:num w:numId="4" w16cid:durableId="688991218">
    <w:abstractNumId w:val="16"/>
  </w:num>
  <w:num w:numId="5" w16cid:durableId="1397245705">
    <w:abstractNumId w:val="14"/>
  </w:num>
  <w:num w:numId="6" w16cid:durableId="1894389969">
    <w:abstractNumId w:val="12"/>
  </w:num>
  <w:num w:numId="7" w16cid:durableId="277685892">
    <w:abstractNumId w:val="17"/>
  </w:num>
  <w:num w:numId="8" w16cid:durableId="831797306">
    <w:abstractNumId w:val="18"/>
  </w:num>
  <w:num w:numId="9" w16cid:durableId="1834026310">
    <w:abstractNumId w:val="4"/>
  </w:num>
  <w:num w:numId="10" w16cid:durableId="1406613395">
    <w:abstractNumId w:val="20"/>
  </w:num>
  <w:num w:numId="11" w16cid:durableId="1891767458">
    <w:abstractNumId w:val="6"/>
  </w:num>
  <w:num w:numId="12" w16cid:durableId="1429614158">
    <w:abstractNumId w:val="10"/>
  </w:num>
  <w:num w:numId="13" w16cid:durableId="476147910">
    <w:abstractNumId w:val="3"/>
  </w:num>
  <w:num w:numId="14" w16cid:durableId="1938128715">
    <w:abstractNumId w:val="19"/>
  </w:num>
  <w:num w:numId="15" w16cid:durableId="134759730">
    <w:abstractNumId w:val="15"/>
  </w:num>
  <w:num w:numId="16" w16cid:durableId="1610237536">
    <w:abstractNumId w:val="11"/>
  </w:num>
  <w:num w:numId="17" w16cid:durableId="153954497">
    <w:abstractNumId w:val="7"/>
  </w:num>
  <w:num w:numId="18" w16cid:durableId="801652175">
    <w:abstractNumId w:val="9"/>
  </w:num>
  <w:num w:numId="19" w16cid:durableId="855539391">
    <w:abstractNumId w:val="13"/>
  </w:num>
  <w:num w:numId="20" w16cid:durableId="1291059452">
    <w:abstractNumId w:val="8"/>
  </w:num>
  <w:num w:numId="21" w16cid:durableId="48597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A7"/>
    <w:rsid w:val="0004517D"/>
    <w:rsid w:val="000A2ACD"/>
    <w:rsid w:val="001657AC"/>
    <w:rsid w:val="002055D0"/>
    <w:rsid w:val="002100AF"/>
    <w:rsid w:val="00232405"/>
    <w:rsid w:val="0025581C"/>
    <w:rsid w:val="002B41EC"/>
    <w:rsid w:val="00312F7C"/>
    <w:rsid w:val="003511BE"/>
    <w:rsid w:val="003B1476"/>
    <w:rsid w:val="004A1665"/>
    <w:rsid w:val="004F59C5"/>
    <w:rsid w:val="00513976"/>
    <w:rsid w:val="0052286F"/>
    <w:rsid w:val="00556AE6"/>
    <w:rsid w:val="00575EBC"/>
    <w:rsid w:val="00582142"/>
    <w:rsid w:val="0060132D"/>
    <w:rsid w:val="00661B23"/>
    <w:rsid w:val="006846D1"/>
    <w:rsid w:val="006A7729"/>
    <w:rsid w:val="006B3490"/>
    <w:rsid w:val="006C36F5"/>
    <w:rsid w:val="006D0C07"/>
    <w:rsid w:val="008132B5"/>
    <w:rsid w:val="00825B0A"/>
    <w:rsid w:val="0086159D"/>
    <w:rsid w:val="00921450"/>
    <w:rsid w:val="009A7153"/>
    <w:rsid w:val="00A261A7"/>
    <w:rsid w:val="00AB5E9F"/>
    <w:rsid w:val="00BB187A"/>
    <w:rsid w:val="00BD2A95"/>
    <w:rsid w:val="00BE63BB"/>
    <w:rsid w:val="00CE2DFC"/>
    <w:rsid w:val="00D16257"/>
    <w:rsid w:val="00D97EFF"/>
    <w:rsid w:val="00E776B0"/>
    <w:rsid w:val="00EA4AD5"/>
    <w:rsid w:val="00EB2100"/>
    <w:rsid w:val="00EC4580"/>
    <w:rsid w:val="00EE3016"/>
    <w:rsid w:val="00EE556B"/>
    <w:rsid w:val="00F1393C"/>
    <w:rsid w:val="00F1408E"/>
    <w:rsid w:val="00F32F58"/>
    <w:rsid w:val="00F86713"/>
    <w:rsid w:val="00FA545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ED164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1A7"/>
    <w:pPr>
      <w:tabs>
        <w:tab w:val="center" w:pos="4320"/>
        <w:tab w:val="right" w:pos="8640"/>
      </w:tabs>
    </w:pPr>
  </w:style>
  <w:style w:type="character" w:customStyle="1" w:styleId="HeaderChar">
    <w:name w:val="Header Char"/>
    <w:basedOn w:val="DefaultParagraphFont"/>
    <w:link w:val="Header"/>
    <w:uiPriority w:val="99"/>
    <w:rsid w:val="00A261A7"/>
  </w:style>
  <w:style w:type="paragraph" w:styleId="Footer">
    <w:name w:val="footer"/>
    <w:basedOn w:val="Normal"/>
    <w:link w:val="FooterChar"/>
    <w:uiPriority w:val="99"/>
    <w:unhideWhenUsed/>
    <w:rsid w:val="00A261A7"/>
    <w:pPr>
      <w:tabs>
        <w:tab w:val="center" w:pos="4320"/>
        <w:tab w:val="right" w:pos="8640"/>
      </w:tabs>
    </w:pPr>
  </w:style>
  <w:style w:type="character" w:customStyle="1" w:styleId="FooterChar">
    <w:name w:val="Footer Char"/>
    <w:basedOn w:val="DefaultParagraphFont"/>
    <w:link w:val="Footer"/>
    <w:uiPriority w:val="99"/>
    <w:rsid w:val="00A261A7"/>
  </w:style>
  <w:style w:type="paragraph" w:styleId="BalloonText">
    <w:name w:val="Balloon Text"/>
    <w:basedOn w:val="Normal"/>
    <w:link w:val="BalloonTextChar"/>
    <w:uiPriority w:val="99"/>
    <w:semiHidden/>
    <w:unhideWhenUsed/>
    <w:rsid w:val="00A261A7"/>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1A7"/>
    <w:rPr>
      <w:rFonts w:ascii="Lucida Grande" w:hAnsi="Lucida Grande"/>
      <w:sz w:val="18"/>
      <w:szCs w:val="18"/>
    </w:rPr>
  </w:style>
  <w:style w:type="paragraph" w:styleId="ListParagraph">
    <w:name w:val="List Paragraph"/>
    <w:basedOn w:val="Normal"/>
    <w:uiPriority w:val="34"/>
    <w:qFormat/>
    <w:rsid w:val="004F59C5"/>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4A1665"/>
    <w:rPr>
      <w:color w:val="0000FF" w:themeColor="hyperlink"/>
      <w:u w:val="single"/>
    </w:rPr>
  </w:style>
  <w:style w:type="table" w:styleId="TableGrid">
    <w:name w:val="Table Grid"/>
    <w:basedOn w:val="TableNormal"/>
    <w:uiPriority w:val="59"/>
    <w:rsid w:val="00D16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162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751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C528-0579-4BAF-A986-0FEF11D4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Gauther</dc:creator>
  <cp:keywords/>
  <dc:description/>
  <cp:lastModifiedBy>Soll, Nicole</cp:lastModifiedBy>
  <cp:revision>2</cp:revision>
  <dcterms:created xsi:type="dcterms:W3CDTF">2024-04-10T14:05:00Z</dcterms:created>
  <dcterms:modified xsi:type="dcterms:W3CDTF">2024-04-10T14:05:00Z</dcterms:modified>
</cp:coreProperties>
</file>