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BE" w:rsidRDefault="009666BE" w:rsidP="00083286">
      <w:pPr>
        <w:rPr>
          <w:b/>
          <w:sz w:val="28"/>
          <w:szCs w:val="28"/>
        </w:rPr>
      </w:pPr>
      <w:r w:rsidRPr="009666BE">
        <w:rPr>
          <w:b/>
          <w:sz w:val="28"/>
          <w:szCs w:val="28"/>
        </w:rPr>
        <w:t xml:space="preserve">Non-Employee </w:t>
      </w:r>
      <w:r w:rsidR="008D48C5">
        <w:rPr>
          <w:b/>
          <w:sz w:val="28"/>
          <w:szCs w:val="28"/>
        </w:rPr>
        <w:t>Appointments</w:t>
      </w:r>
    </w:p>
    <w:p w:rsidR="008D48C5" w:rsidRDefault="008D48C5" w:rsidP="00577985">
      <w:pPr>
        <w:pStyle w:val="NoSpacing"/>
        <w:spacing w:after="120"/>
      </w:pPr>
    </w:p>
    <w:p w:rsidR="005C2EF9" w:rsidRPr="00BE6D94" w:rsidRDefault="009666BE" w:rsidP="00577985">
      <w:pPr>
        <w:pStyle w:val="NoSpacing"/>
        <w:spacing w:after="120"/>
      </w:pPr>
      <w:r w:rsidRPr="00BE6D94">
        <w:t xml:space="preserve">Subject:  </w:t>
      </w:r>
      <w:r w:rsidRPr="00BE6D94">
        <w:tab/>
        <w:t>Personnel</w:t>
      </w:r>
    </w:p>
    <w:p w:rsidR="009666BE" w:rsidRPr="00BE6D94" w:rsidRDefault="005C2EF9" w:rsidP="00577985">
      <w:pPr>
        <w:pStyle w:val="NoSpacing"/>
        <w:spacing w:after="120"/>
      </w:pPr>
      <w:r w:rsidRPr="00BE6D94">
        <w:t>Policy:</w:t>
      </w:r>
      <w:r w:rsidRPr="00BE6D94">
        <w:tab/>
      </w:r>
      <w:r w:rsidRPr="00BE6D94">
        <w:tab/>
        <w:t xml:space="preserve">Non-Employee </w:t>
      </w:r>
      <w:r w:rsidR="008D48C5">
        <w:t>Appointment</w:t>
      </w:r>
    </w:p>
    <w:p w:rsidR="009666BE" w:rsidRPr="00BE6D94" w:rsidRDefault="009666BE" w:rsidP="00577985">
      <w:pPr>
        <w:pStyle w:val="NoSpacing"/>
        <w:spacing w:after="120"/>
      </w:pPr>
      <w:r w:rsidRPr="00BE6D94">
        <w:t>Effective date:</w:t>
      </w:r>
      <w:r w:rsidR="00FD2068">
        <w:tab/>
        <w:t>TBD</w:t>
      </w:r>
      <w:r w:rsidR="00FD2068">
        <w:tab/>
      </w:r>
    </w:p>
    <w:p w:rsidR="009666BE" w:rsidRPr="00BE6D94" w:rsidRDefault="009666BE" w:rsidP="00577985">
      <w:pPr>
        <w:pStyle w:val="NoSpacing"/>
        <w:spacing w:after="120"/>
      </w:pPr>
      <w:r w:rsidRPr="00BE6D94">
        <w:t>Review date:</w:t>
      </w:r>
      <w:r w:rsidR="00FD2068">
        <w:tab/>
        <w:t>TBD</w:t>
      </w:r>
    </w:p>
    <w:p w:rsidR="009666BE" w:rsidRPr="00BE6D94" w:rsidRDefault="009666BE" w:rsidP="00577985">
      <w:pPr>
        <w:pStyle w:val="NoSpacing"/>
        <w:spacing w:after="120"/>
      </w:pPr>
      <w:r w:rsidRPr="00BE6D94">
        <w:t>Revised:</w:t>
      </w:r>
    </w:p>
    <w:p w:rsidR="009666BE" w:rsidRPr="00BE6D94" w:rsidRDefault="009666BE" w:rsidP="00577985">
      <w:pPr>
        <w:pStyle w:val="NoSpacing"/>
        <w:spacing w:after="120"/>
      </w:pPr>
      <w:r w:rsidRPr="00BE6D94">
        <w:t>Responsible Party:  Human Resources </w:t>
      </w:r>
    </w:p>
    <w:p w:rsidR="009666BE" w:rsidRPr="009666BE" w:rsidRDefault="00D60987" w:rsidP="009666BE">
      <w:r>
        <w:pict w14:anchorId="054C080A">
          <v:rect id="_x0000_i1025" style="width:0;height:.75pt" o:hralign="center" o:hrstd="t" o:hrnoshade="t" o:hr="t" fillcolor="black" stroked="f"/>
        </w:pict>
      </w:r>
    </w:p>
    <w:p w:rsidR="009666BE" w:rsidRPr="009666BE" w:rsidRDefault="009666BE" w:rsidP="009666BE">
      <w:r w:rsidRPr="009666BE">
        <w:t> </w:t>
      </w:r>
    </w:p>
    <w:p w:rsidR="00D04A41" w:rsidRDefault="009666BE" w:rsidP="005C2EF9">
      <w:pPr>
        <w:numPr>
          <w:ilvl w:val="0"/>
          <w:numId w:val="6"/>
        </w:numPr>
      </w:pPr>
      <w:r w:rsidRPr="005C2EF9">
        <w:rPr>
          <w:b/>
          <w:bCs/>
        </w:rPr>
        <w:t>Introduction and Purpose</w:t>
      </w:r>
      <w:r w:rsidR="00E029F7">
        <w:rPr>
          <w:b/>
          <w:bCs/>
        </w:rPr>
        <w:t>.</w:t>
      </w:r>
      <w:r>
        <w:t xml:space="preserve">   </w:t>
      </w:r>
    </w:p>
    <w:p w:rsidR="00872090" w:rsidRDefault="00872090" w:rsidP="00D04A41"/>
    <w:p w:rsidR="009666BE" w:rsidRDefault="009666BE" w:rsidP="00D04A41">
      <w:r>
        <w:t>There are occasions when MSU wishes to appoint</w:t>
      </w:r>
      <w:r w:rsidRPr="009666BE">
        <w:t xml:space="preserve"> individuals to perform services that </w:t>
      </w:r>
      <w:r>
        <w:t>are provided without remuneration</w:t>
      </w:r>
      <w:r w:rsidRPr="009666BE">
        <w:t xml:space="preserve"> </w:t>
      </w:r>
      <w:r>
        <w:t>and</w:t>
      </w:r>
      <w:r w:rsidRPr="009666BE">
        <w:t xml:space="preserve"> for the benefit of the institution</w:t>
      </w:r>
      <w:r w:rsidR="00FD2068">
        <w:t xml:space="preserve">, or </w:t>
      </w:r>
      <w:r w:rsidR="009A653A">
        <w:t>pursuant to an exchange program or grant</w:t>
      </w:r>
      <w:r w:rsidR="00872090">
        <w:t>.</w:t>
      </w:r>
      <w:r w:rsidRPr="009666BE">
        <w:t xml:space="preserve"> </w:t>
      </w:r>
      <w:r>
        <w:t xml:space="preserve"> </w:t>
      </w:r>
      <w:r w:rsidR="00872090">
        <w:t xml:space="preserve">These </w:t>
      </w:r>
      <w:r w:rsidRPr="009666BE">
        <w:t xml:space="preserve">individuals will be designated as non-employees </w:t>
      </w:r>
      <w:r w:rsidR="00D04A41">
        <w:t xml:space="preserve">for purposes of the workforce.  However, these non-employees </w:t>
      </w:r>
      <w:r w:rsidRPr="009666BE">
        <w:t xml:space="preserve">may be granted access to </w:t>
      </w:r>
      <w:r>
        <w:t>university</w:t>
      </w:r>
      <w:r w:rsidRPr="009666BE">
        <w:t xml:space="preserve"> property, facilities or information systems </w:t>
      </w:r>
      <w:r>
        <w:t xml:space="preserve">as </w:t>
      </w:r>
      <w:r w:rsidRPr="009666BE">
        <w:t xml:space="preserve">necessary for the services they perform. </w:t>
      </w:r>
    </w:p>
    <w:p w:rsidR="009666BE" w:rsidRDefault="009666BE" w:rsidP="00083286"/>
    <w:p w:rsidR="00386197" w:rsidRDefault="009666BE" w:rsidP="00083286">
      <w:r>
        <w:t xml:space="preserve">To assure that the university is aware of and maintains control of the </w:t>
      </w:r>
      <w:r w:rsidRPr="009666BE">
        <w:t xml:space="preserve">services and access privileges granted to such individuals, departments </w:t>
      </w:r>
      <w:r w:rsidR="00386197">
        <w:t>wishing to appoint a non-employee will a</w:t>
      </w:r>
      <w:r w:rsidR="0048346F">
        <w:t xml:space="preserve">ppoint </w:t>
      </w:r>
      <w:r w:rsidR="00386197">
        <w:t>non-employees as outlined in this policy</w:t>
      </w:r>
      <w:r w:rsidRPr="009666BE">
        <w:t xml:space="preserve">. </w:t>
      </w:r>
      <w:r w:rsidR="0048346F">
        <w:t xml:space="preserve"> Unless persons are appointed in accordance with this policy, they will not be granted access to any rest</w:t>
      </w:r>
      <w:r w:rsidR="00DE197A">
        <w:t>ricted property, facilities and/</w:t>
      </w:r>
      <w:r w:rsidR="0048346F">
        <w:t>or the information systems.</w:t>
      </w:r>
    </w:p>
    <w:p w:rsidR="00386197" w:rsidRDefault="00386197" w:rsidP="00083286"/>
    <w:p w:rsidR="005073AA" w:rsidRDefault="005073AA" w:rsidP="00083286">
      <w:r>
        <w:t>For purposes of this policy, a</w:t>
      </w:r>
      <w:r w:rsidR="009666BE" w:rsidRPr="009666BE">
        <w:t xml:space="preserve"> non-employee is an individual appointed for at least one day to perform non-remunerative services that directly or indirectly benefit the </w:t>
      </w:r>
      <w:r>
        <w:t>university</w:t>
      </w:r>
      <w:r w:rsidR="009666BE" w:rsidRPr="009666BE">
        <w:t xml:space="preserve">. </w:t>
      </w:r>
      <w:r>
        <w:t xml:space="preserve"> </w:t>
      </w:r>
      <w:r w:rsidR="009666BE" w:rsidRPr="009666BE">
        <w:t xml:space="preserve">No employer-employee relationship </w:t>
      </w:r>
      <w:r>
        <w:t xml:space="preserve">will </w:t>
      </w:r>
      <w:r w:rsidR="009666BE" w:rsidRPr="009666BE">
        <w:t xml:space="preserve">exist between an individual serving in a non-employee position and the </w:t>
      </w:r>
      <w:r>
        <w:t>university</w:t>
      </w:r>
      <w:r w:rsidR="009666BE" w:rsidRPr="009666BE">
        <w:t>. There is no promise to pay or hire a non-employee for services rendered.</w:t>
      </w:r>
    </w:p>
    <w:p w:rsidR="005073AA" w:rsidRDefault="005073AA" w:rsidP="00083286"/>
    <w:p w:rsidR="004913B9" w:rsidRPr="00541FBA" w:rsidRDefault="004913B9" w:rsidP="004913B9">
      <w:pPr>
        <w:numPr>
          <w:ilvl w:val="0"/>
          <w:numId w:val="6"/>
        </w:numPr>
      </w:pPr>
      <w:r>
        <w:rPr>
          <w:b/>
        </w:rPr>
        <w:t>Types of Non-Employee Appointments</w:t>
      </w:r>
      <w:r w:rsidR="00E029F7">
        <w:rPr>
          <w:b/>
        </w:rPr>
        <w:t>.</w:t>
      </w:r>
    </w:p>
    <w:p w:rsidR="00541FBA" w:rsidRDefault="00541FBA" w:rsidP="00541FBA"/>
    <w:p w:rsidR="00541FBA" w:rsidRPr="00541FBA" w:rsidRDefault="00541FBA" w:rsidP="00541FBA">
      <w:r>
        <w:t>If a department wishes to appoint a Non-</w:t>
      </w:r>
      <w:r w:rsidR="00230C8A">
        <w:t>E</w:t>
      </w:r>
      <w:r>
        <w:t>mployee</w:t>
      </w:r>
      <w:r w:rsidR="00230C8A">
        <w:t>, the department</w:t>
      </w:r>
      <w:r>
        <w:t xml:space="preserve"> must submit the appropriate form requesting approval of the Non-Employee appointment.</w:t>
      </w:r>
    </w:p>
    <w:p w:rsidR="004913B9" w:rsidRDefault="004913B9" w:rsidP="004913B9">
      <w:pPr>
        <w:ind w:left="360"/>
      </w:pPr>
    </w:p>
    <w:p w:rsidR="00DE197A" w:rsidRDefault="007C4B1F" w:rsidP="004913B9">
      <w:pPr>
        <w:numPr>
          <w:ilvl w:val="1"/>
          <w:numId w:val="6"/>
        </w:numPr>
      </w:pPr>
      <w:r w:rsidRPr="00083286">
        <w:t>AFFILIATE</w:t>
      </w:r>
      <w:r w:rsidR="00006152">
        <w:t>/COURTESY</w:t>
      </w:r>
      <w:r w:rsidRPr="00083286">
        <w:t xml:space="preserve"> </w:t>
      </w:r>
      <w:r w:rsidR="00006152">
        <w:t xml:space="preserve">FACULTY </w:t>
      </w:r>
      <w:r w:rsidRPr="00083286">
        <w:t xml:space="preserve">(AFF): </w:t>
      </w:r>
      <w:r w:rsidR="00006152">
        <w:t xml:space="preserve"> Individuals who meet the eligibility for an Affiliate/Courtesy Faculty Appointment as those appointments are described in the MSU Facult</w:t>
      </w:r>
      <w:r w:rsidR="00230C8A">
        <w:t>y Handbook</w:t>
      </w:r>
      <w:r w:rsidR="00DE197A">
        <w:rPr>
          <w:rStyle w:val="FootnoteReference"/>
        </w:rPr>
        <w:footnoteReference w:id="1"/>
      </w:r>
      <w:r w:rsidR="00230C8A">
        <w:t xml:space="preserve">.  </w:t>
      </w:r>
    </w:p>
    <w:p w:rsidR="00DE197A" w:rsidRDefault="00DE197A" w:rsidP="00DE197A">
      <w:pPr>
        <w:ind w:left="360"/>
        <w:rPr>
          <w:b/>
          <w:bCs/>
        </w:rPr>
      </w:pPr>
    </w:p>
    <w:p w:rsidR="00DE197A" w:rsidRPr="00DE197A" w:rsidRDefault="00DE197A" w:rsidP="00DE197A">
      <w:pPr>
        <w:ind w:left="1170"/>
        <w:rPr>
          <w:i/>
        </w:rPr>
      </w:pPr>
      <w:r w:rsidRPr="00DE197A">
        <w:rPr>
          <w:i/>
        </w:rPr>
        <w:t xml:space="preserve">Affiliate faculty appointments are unpaid, courtesy appointments of persons with appropriate professional or academic credentials who will make a substantive contribution to the department and the university in fulfilling its mission.  The Affiliate’s credentials will be reviewed to determine whether he or she is appropriately qualified for the assignment.  Affiliate appointments may be granted for up to one academic year, are renewable, and may be discontinued at any time without prior notice.  Affiliate appointments are not eligible for university benefits and have no faculty rights under this handbook. </w:t>
      </w:r>
    </w:p>
    <w:p w:rsidR="00DE197A" w:rsidRDefault="00DE197A" w:rsidP="00DE197A">
      <w:pPr>
        <w:ind w:left="360"/>
      </w:pPr>
    </w:p>
    <w:p w:rsidR="00F43E63" w:rsidRPr="00083286" w:rsidRDefault="00230C8A" w:rsidP="00DE197A">
      <w:pPr>
        <w:ind w:left="1170"/>
      </w:pPr>
      <w:r>
        <w:t xml:space="preserve">If the Affiliate </w:t>
      </w:r>
      <w:r w:rsidR="00006152">
        <w:t xml:space="preserve">requires access to the MSU </w:t>
      </w:r>
      <w:r w:rsidR="004913B9">
        <w:t xml:space="preserve">facilities or MSU information technology services, the status as Affiliate/Courtesy Faculty will be sufficient to allow such access once approved by the Provost in writing.  </w:t>
      </w:r>
      <w:r w:rsidR="002865DE">
        <w:t>Request for Appointment of Affiliate/Courtesy Faculty is available here [insert link]</w:t>
      </w:r>
    </w:p>
    <w:p w:rsidR="00F43E63" w:rsidRPr="00083286" w:rsidRDefault="00F43E63" w:rsidP="00083286"/>
    <w:p w:rsidR="00FD2068" w:rsidRDefault="007C4B1F" w:rsidP="00FD2068">
      <w:pPr>
        <w:numPr>
          <w:ilvl w:val="1"/>
          <w:numId w:val="6"/>
        </w:numPr>
      </w:pPr>
      <w:r w:rsidRPr="00083286">
        <w:t xml:space="preserve">STUDENT AFFILIATE: Individual who is a registered student at the high school, college or university level </w:t>
      </w:r>
      <w:r w:rsidR="00B12B4E">
        <w:t xml:space="preserve">at an institution other than MSU </w:t>
      </w:r>
      <w:r w:rsidRPr="00083286">
        <w:t xml:space="preserve">and is placed through special academic programs to conduct science projects, learn from and observe </w:t>
      </w:r>
      <w:r w:rsidR="00B12B4E">
        <w:t xml:space="preserve">university </w:t>
      </w:r>
      <w:r w:rsidRPr="00083286">
        <w:t>o</w:t>
      </w:r>
      <w:r w:rsidR="00B12B4E">
        <w:t>perations, serve an internship, etc</w:t>
      </w:r>
      <w:r w:rsidR="00872090">
        <w:t>.</w:t>
      </w:r>
      <w:r w:rsidR="00FD2068">
        <w:t>, but is not otherwise registered as a student at MSU</w:t>
      </w:r>
      <w:r w:rsidR="00B12B4E">
        <w:t xml:space="preserve">.  </w:t>
      </w:r>
      <w:r w:rsidR="00535C70">
        <w:t xml:space="preserve">There must be a written agreement in place with the student’s home institution establishing the terms of the placement. </w:t>
      </w:r>
      <w:r w:rsidR="002865DE">
        <w:t>Request for Appointment of Student Affiliate is available here [insert link]</w:t>
      </w:r>
    </w:p>
    <w:p w:rsidR="00FD2068" w:rsidRDefault="00FD2068" w:rsidP="00872090">
      <w:pPr>
        <w:pStyle w:val="ListParagraph"/>
      </w:pPr>
    </w:p>
    <w:p w:rsidR="00FD2068" w:rsidRPr="00083286" w:rsidRDefault="00FD2068" w:rsidP="00FD2068">
      <w:pPr>
        <w:numPr>
          <w:ilvl w:val="1"/>
          <w:numId w:val="6"/>
        </w:numPr>
      </w:pPr>
      <w:r>
        <w:t xml:space="preserve">VISITING RESEARCHER: Individuals supported by non-MSU funds (fellowships, </w:t>
      </w:r>
      <w:r w:rsidR="005D68BA">
        <w:t>Fulbright Scholars, employed by another institution or private entity) conducting research with an MSU faculty member.</w:t>
      </w:r>
      <w:r w:rsidR="00535C70">
        <w:t xml:space="preserve"> There must be a written agreement in place with the funding source establishing the terms of the placement.</w:t>
      </w:r>
      <w:r w:rsidR="005D68BA">
        <w:t xml:space="preserve"> Request for Appointment of Visi</w:t>
      </w:r>
      <w:r w:rsidR="00DE197A">
        <w:t>ti</w:t>
      </w:r>
      <w:r w:rsidR="005D68BA">
        <w:t>ng Researcher is available here [insert link]</w:t>
      </w:r>
      <w:r w:rsidR="00872090">
        <w:t>.</w:t>
      </w:r>
    </w:p>
    <w:p w:rsidR="00F43E63" w:rsidRPr="00083286" w:rsidRDefault="00F43E63" w:rsidP="00083286"/>
    <w:p w:rsidR="004913B9" w:rsidRDefault="007C4B1F" w:rsidP="004913B9">
      <w:pPr>
        <w:numPr>
          <w:ilvl w:val="1"/>
          <w:numId w:val="6"/>
        </w:numPr>
      </w:pPr>
      <w:r w:rsidRPr="00083286">
        <w:t>VOLUNTEER (VOL):</w:t>
      </w:r>
      <w:r w:rsidR="004913B9">
        <w:t xml:space="preserve">  </w:t>
      </w:r>
      <w:r w:rsidRPr="00083286">
        <w:t xml:space="preserve"> Individual</w:t>
      </w:r>
      <w:r w:rsidR="004913B9">
        <w:t>s</w:t>
      </w:r>
      <w:r w:rsidRPr="00083286">
        <w:t xml:space="preserve"> who volunteers to perform civic, charitable or humanitarian services for the</w:t>
      </w:r>
      <w:r w:rsidR="004913B9">
        <w:t xml:space="preserve"> university</w:t>
      </w:r>
      <w:r w:rsidRPr="00083286">
        <w:t>, provided that:</w:t>
      </w:r>
    </w:p>
    <w:p w:rsidR="004913B9" w:rsidRDefault="004913B9" w:rsidP="00541FBA">
      <w:pPr>
        <w:ind w:left="1080"/>
      </w:pPr>
    </w:p>
    <w:p w:rsidR="004913B9" w:rsidRDefault="007C4B1F" w:rsidP="004913B9">
      <w:pPr>
        <w:numPr>
          <w:ilvl w:val="2"/>
          <w:numId w:val="6"/>
        </w:numPr>
      </w:pPr>
      <w:r w:rsidRPr="00083286">
        <w:t>The person receives no compensation, paid expenses or reasonable benefits to perform the services;</w:t>
      </w:r>
    </w:p>
    <w:p w:rsidR="004913B9" w:rsidRDefault="007C4B1F" w:rsidP="004913B9">
      <w:pPr>
        <w:numPr>
          <w:ilvl w:val="2"/>
          <w:numId w:val="6"/>
        </w:numPr>
      </w:pPr>
      <w:r w:rsidRPr="00083286">
        <w:t>There is no promise or expectation of compensation or employment for services rendered;</w:t>
      </w:r>
    </w:p>
    <w:p w:rsidR="004913B9" w:rsidRDefault="007C4B1F" w:rsidP="004913B9">
      <w:pPr>
        <w:numPr>
          <w:ilvl w:val="2"/>
          <w:numId w:val="6"/>
        </w:numPr>
      </w:pPr>
      <w:r w:rsidRPr="00083286">
        <w:t xml:space="preserve">Such services </w:t>
      </w:r>
      <w:r w:rsidR="004913B9">
        <w:t>do not substitute for services performed by university employees</w:t>
      </w:r>
      <w:r w:rsidRPr="00083286">
        <w:t>;</w:t>
      </w:r>
    </w:p>
    <w:p w:rsidR="004913B9" w:rsidRDefault="007C4B1F" w:rsidP="004913B9">
      <w:pPr>
        <w:numPr>
          <w:ilvl w:val="2"/>
          <w:numId w:val="6"/>
        </w:numPr>
      </w:pPr>
      <w:r w:rsidRPr="00083286">
        <w:t>Such services are low risk and present minimal</w:t>
      </w:r>
      <w:r w:rsidR="004913B9">
        <w:t xml:space="preserve"> exposure to</w:t>
      </w:r>
      <w:r w:rsidRPr="00083286">
        <w:t xml:space="preserve"> liability to </w:t>
      </w:r>
      <w:r w:rsidR="004913B9">
        <w:t>university</w:t>
      </w:r>
      <w:r w:rsidRPr="00083286">
        <w:t xml:space="preserve"> and are considered non-essential and non-critical to the operations of the department.</w:t>
      </w:r>
    </w:p>
    <w:p w:rsidR="005D68BA" w:rsidRDefault="007C4B1F" w:rsidP="005D68BA">
      <w:pPr>
        <w:numPr>
          <w:ilvl w:val="2"/>
          <w:numId w:val="6"/>
        </w:numPr>
      </w:pPr>
      <w:r w:rsidRPr="00083286">
        <w:t xml:space="preserve">Volunteers </w:t>
      </w:r>
      <w:r w:rsidR="004913B9">
        <w:t xml:space="preserve">must be appointed by following the requirements in the university </w:t>
      </w:r>
      <w:hyperlink r:id="rId8" w:history="1">
        <w:r w:rsidR="004913B9" w:rsidRPr="004913B9">
          <w:rPr>
            <w:rStyle w:val="Hyperlink"/>
          </w:rPr>
          <w:t>Volunteer Policy</w:t>
        </w:r>
      </w:hyperlink>
      <w:r w:rsidR="00541FBA">
        <w:t xml:space="preserve"> and must be reported to HR upon appointment</w:t>
      </w:r>
      <w:r w:rsidR="004913B9">
        <w:t xml:space="preserve">.   </w:t>
      </w:r>
    </w:p>
    <w:p w:rsidR="002865DE" w:rsidRDefault="002865DE" w:rsidP="00541FBA">
      <w:pPr>
        <w:ind w:left="1080"/>
      </w:pPr>
    </w:p>
    <w:p w:rsidR="00541FBA" w:rsidRPr="00083286" w:rsidRDefault="002865DE" w:rsidP="00541FBA">
      <w:pPr>
        <w:ind w:left="1080"/>
      </w:pPr>
      <w:r w:rsidRPr="002865DE">
        <w:t xml:space="preserve">Request for Appointment of </w:t>
      </w:r>
      <w:r>
        <w:t>Volunteer</w:t>
      </w:r>
      <w:r w:rsidRPr="002865DE">
        <w:t xml:space="preserve"> is available here [insert link]</w:t>
      </w:r>
    </w:p>
    <w:p w:rsidR="002865DE" w:rsidRDefault="002865DE" w:rsidP="002865DE"/>
    <w:p w:rsidR="00736713" w:rsidRDefault="00736713" w:rsidP="00736713">
      <w:r w:rsidRPr="00736713">
        <w:t xml:space="preserve">Foreign nationals who are seeking appointment to non-employee positions must be approved by the Office of International Programs before they can be appointed.  The Office of International Programs will be responsible to assure that the appointee has the appropriate visa status and is eligible to serve in the proposed non-employee position. </w:t>
      </w:r>
      <w:r>
        <w:t xml:space="preserve"> </w:t>
      </w:r>
      <w:r w:rsidR="00366B8D">
        <w:t xml:space="preserve">Foreign nationals who will be present in laboratories or involved in research activities will need to be approved by the Office of Research Compliance to assure compliance with the </w:t>
      </w:r>
      <w:hyperlink r:id="rId9" w:history="1">
        <w:r w:rsidR="00366B8D" w:rsidRPr="00366B8D">
          <w:rPr>
            <w:rStyle w:val="Hyperlink"/>
          </w:rPr>
          <w:t>Export Control requirements</w:t>
        </w:r>
      </w:hyperlink>
      <w:r w:rsidR="00366B8D">
        <w:t xml:space="preserve">.  </w:t>
      </w:r>
      <w:r w:rsidRPr="00736713">
        <w:t>International visitors who are waiting for employment authorization are not eligible for non-employee appointment while waiting to receive employment authorization.</w:t>
      </w:r>
    </w:p>
    <w:p w:rsidR="00736713" w:rsidRPr="00736713" w:rsidRDefault="00736713" w:rsidP="00736713"/>
    <w:p w:rsidR="002865DE" w:rsidRPr="00083286" w:rsidRDefault="002865DE" w:rsidP="002865DE">
      <w:r w:rsidRPr="00083286">
        <w:t xml:space="preserve">Non-employee appointments must be reviewed and processed by the Office of Human Resources prior to </w:t>
      </w:r>
      <w:r>
        <w:t xml:space="preserve">authorization and issuance of access to any university facilities, information technology services (e.g., email account) or other university services (access to Recreational Sports and Fitness Facilities).  </w:t>
      </w:r>
    </w:p>
    <w:p w:rsidR="00F43E63" w:rsidRPr="00083286" w:rsidRDefault="00F43E63" w:rsidP="004913B9"/>
    <w:p w:rsidR="00EC17E9" w:rsidRPr="00EC17E9" w:rsidRDefault="00EC17E9" w:rsidP="00EC17E9">
      <w:pPr>
        <w:numPr>
          <w:ilvl w:val="0"/>
          <w:numId w:val="6"/>
        </w:numPr>
        <w:rPr>
          <w:b/>
        </w:rPr>
      </w:pPr>
      <w:r w:rsidRPr="00EC17E9">
        <w:rPr>
          <w:b/>
        </w:rPr>
        <w:t>Appointment Process</w:t>
      </w:r>
      <w:r w:rsidR="00E029F7">
        <w:rPr>
          <w:b/>
        </w:rPr>
        <w:t>.</w:t>
      </w:r>
    </w:p>
    <w:p w:rsidR="00872090" w:rsidRDefault="00872090" w:rsidP="00872090"/>
    <w:p w:rsidR="00EC17E9" w:rsidRPr="00EC17E9" w:rsidRDefault="00EC17E9" w:rsidP="00872090">
      <w:pPr>
        <w:rPr>
          <w:b/>
        </w:rPr>
      </w:pPr>
      <w:r w:rsidRPr="00EC17E9">
        <w:t xml:space="preserve">The sponsoring department will submit </w:t>
      </w:r>
      <w:r w:rsidR="00366B8D">
        <w:t xml:space="preserve">the </w:t>
      </w:r>
      <w:r w:rsidRPr="00EC17E9">
        <w:t>appropriate Non-Employee Appointment Form.</w:t>
      </w:r>
    </w:p>
    <w:p w:rsidR="00EC17E9" w:rsidRPr="00EC17E9" w:rsidRDefault="00EC17E9" w:rsidP="00872090">
      <w:r w:rsidRPr="00EC17E9">
        <w:t xml:space="preserve">Since individuals in these non-employee positions are on campus and interact with the university community, they will be subject to have a background check before appointment.  The university will use the </w:t>
      </w:r>
      <w:hyperlink r:id="rId10" w:history="1">
        <w:r w:rsidRPr="00EC17E9">
          <w:rPr>
            <w:rStyle w:val="Hyperlink"/>
          </w:rPr>
          <w:t>Employment Background Check Policy</w:t>
        </w:r>
      </w:hyperlink>
      <w:r w:rsidRPr="00EC17E9">
        <w:t xml:space="preserve"> to guide the background check process for these individuals.  </w:t>
      </w:r>
    </w:p>
    <w:p w:rsidR="00EC17E9" w:rsidRDefault="00EC17E9" w:rsidP="00EC17E9">
      <w:pPr>
        <w:ind w:left="360"/>
      </w:pPr>
    </w:p>
    <w:p w:rsidR="00EC17E9" w:rsidRDefault="00EC17E9" w:rsidP="00872090">
      <w:r w:rsidRPr="00EC17E9">
        <w:t>Upon approval by Human Resources, the non-employee will be entered in the university Banner system and Human Resources will send a confirmation email to the initiating department</w:t>
      </w:r>
      <w:r w:rsidR="00A4417F">
        <w:t xml:space="preserve"> with a copy of the approved form</w:t>
      </w:r>
      <w:r w:rsidRPr="00EC17E9">
        <w:t xml:space="preserve">.  </w:t>
      </w:r>
      <w:r>
        <w:t xml:space="preserve"> No other departments may issue identification cards, access to facilities, email accounts or other restricted services until the appointment is approved</w:t>
      </w:r>
      <w:r w:rsidR="00A4417F">
        <w:t xml:space="preserve"> by HR</w:t>
      </w:r>
      <w:r>
        <w:t xml:space="preserve">.  </w:t>
      </w:r>
    </w:p>
    <w:p w:rsidR="00736713" w:rsidRDefault="00736713" w:rsidP="00872090"/>
    <w:p w:rsidR="00F43E63" w:rsidRPr="00B12B4E" w:rsidRDefault="00541FBA" w:rsidP="00083286">
      <w:pPr>
        <w:numPr>
          <w:ilvl w:val="0"/>
          <w:numId w:val="6"/>
        </w:numPr>
        <w:rPr>
          <w:b/>
        </w:rPr>
      </w:pPr>
      <w:r w:rsidRPr="00B12B4E">
        <w:rPr>
          <w:b/>
        </w:rPr>
        <w:t>Terms and Conditions of Appointment.</w:t>
      </w:r>
      <w:r w:rsidR="002865DE" w:rsidRPr="00B12B4E">
        <w:rPr>
          <w:b/>
        </w:rPr>
        <w:t xml:space="preserve">  </w:t>
      </w:r>
    </w:p>
    <w:p w:rsidR="002865DE" w:rsidRPr="00B12B4E" w:rsidRDefault="002865DE" w:rsidP="002865DE">
      <w:pPr>
        <w:ind w:left="360"/>
        <w:rPr>
          <w:b/>
        </w:rPr>
      </w:pPr>
    </w:p>
    <w:p w:rsidR="00541FBA" w:rsidRDefault="007C4B1F" w:rsidP="00DE197A">
      <w:pPr>
        <w:numPr>
          <w:ilvl w:val="1"/>
          <w:numId w:val="6"/>
        </w:numPr>
      </w:pPr>
      <w:r w:rsidRPr="00083286">
        <w:t xml:space="preserve">Non-employee appointments are </w:t>
      </w:r>
      <w:r w:rsidR="002865DE">
        <w:t xml:space="preserve">made </w:t>
      </w:r>
      <w:r w:rsidRPr="00083286">
        <w:t xml:space="preserve">at the discretion of the </w:t>
      </w:r>
      <w:r w:rsidR="00541FBA">
        <w:t>University and may be terminated at any time</w:t>
      </w:r>
      <w:r w:rsidR="00DE197A">
        <w:t>.</w:t>
      </w:r>
    </w:p>
    <w:p w:rsidR="00EC17E9" w:rsidRDefault="00EC17E9" w:rsidP="00EC17E9">
      <w:pPr>
        <w:ind w:left="810"/>
      </w:pPr>
    </w:p>
    <w:p w:rsidR="00EC17E9" w:rsidRDefault="00EC17E9" w:rsidP="00EC17E9">
      <w:pPr>
        <w:numPr>
          <w:ilvl w:val="1"/>
          <w:numId w:val="6"/>
        </w:numPr>
      </w:pPr>
      <w:r w:rsidRPr="00EC17E9">
        <w:t xml:space="preserve">Appointments, assignments of duty, and dismissals of individuals who are not employees are not subject to the human resource policies of the university that govern employees.  </w:t>
      </w:r>
    </w:p>
    <w:p w:rsidR="00541FBA" w:rsidRDefault="00541FBA" w:rsidP="002865DE">
      <w:pPr>
        <w:ind w:left="1080"/>
      </w:pPr>
    </w:p>
    <w:p w:rsidR="002865DE" w:rsidRDefault="007C4B1F" w:rsidP="00083286">
      <w:pPr>
        <w:numPr>
          <w:ilvl w:val="1"/>
          <w:numId w:val="6"/>
        </w:numPr>
      </w:pPr>
      <w:r w:rsidRPr="00083286">
        <w:t xml:space="preserve">Non-employees cannot begin to render services or use </w:t>
      </w:r>
      <w:r w:rsidR="002865DE">
        <w:t>university property or equipment</w:t>
      </w:r>
      <w:r w:rsidRPr="00083286">
        <w:t xml:space="preserve"> until all necessary background checks and approvals are granted. </w:t>
      </w:r>
      <w:r w:rsidR="00736713">
        <w:t xml:space="preserve"> </w:t>
      </w:r>
      <w:r w:rsidRPr="00083286">
        <w:t xml:space="preserve">Non-employee appointments that do not comply with this policy will be considered unauthorized and will be </w:t>
      </w:r>
      <w:r w:rsidR="002865DE">
        <w:t>subject to restriction of access to university facilities and services.</w:t>
      </w:r>
    </w:p>
    <w:p w:rsidR="002865DE" w:rsidRDefault="002865DE" w:rsidP="002865DE">
      <w:pPr>
        <w:ind w:left="1080"/>
      </w:pPr>
    </w:p>
    <w:p w:rsidR="00B12B4E" w:rsidRDefault="007029D8" w:rsidP="00083286">
      <w:pPr>
        <w:numPr>
          <w:ilvl w:val="1"/>
          <w:numId w:val="6"/>
        </w:numPr>
      </w:pPr>
      <w:r>
        <w:t>Non-employees</w:t>
      </w:r>
      <w:r w:rsidR="00B12B4E">
        <w:t xml:space="preserve"> cannot be appointed for more than </w:t>
      </w:r>
      <w:r w:rsidR="005D68BA">
        <w:t>one year</w:t>
      </w:r>
      <w:r w:rsidR="00B12B4E">
        <w:t xml:space="preserve"> and may be reappointed upon expiration of the term if approved as outlined in this policy.</w:t>
      </w:r>
      <w:r w:rsidR="00577985">
        <w:t xml:space="preserve">  Departments with a business need to appoint the non-employee for longer than one year may request a longer appointment upon a showing of the unique business need. </w:t>
      </w:r>
    </w:p>
    <w:p w:rsidR="00B12B4E" w:rsidRDefault="00B12B4E" w:rsidP="00B12B4E">
      <w:pPr>
        <w:ind w:left="1080"/>
      </w:pPr>
    </w:p>
    <w:p w:rsidR="00B12B4E" w:rsidRDefault="007C4B1F" w:rsidP="00083286">
      <w:pPr>
        <w:numPr>
          <w:ilvl w:val="1"/>
          <w:numId w:val="6"/>
        </w:numPr>
      </w:pPr>
      <w:r w:rsidRPr="00083286">
        <w:t xml:space="preserve">Non-employees cannot be less than 16 years of age. </w:t>
      </w:r>
      <w:r w:rsidR="00B12B4E">
        <w:t xml:space="preserve"> </w:t>
      </w:r>
      <w:r w:rsidRPr="00083286">
        <w:t xml:space="preserve">Appointments of non-employees under the age of 18 are subject to the review of the Office of Human Resources to ensure </w:t>
      </w:r>
      <w:r w:rsidR="00B12B4E">
        <w:t>that the position and the duties performed is appropriate for a minor</w:t>
      </w:r>
      <w:r w:rsidRPr="00083286">
        <w:t>.</w:t>
      </w:r>
    </w:p>
    <w:p w:rsidR="00B12B4E" w:rsidRDefault="00B12B4E" w:rsidP="00B12B4E">
      <w:pPr>
        <w:ind w:left="1080"/>
      </w:pPr>
    </w:p>
    <w:p w:rsidR="007029D8" w:rsidRDefault="007C4B1F" w:rsidP="00083286">
      <w:pPr>
        <w:numPr>
          <w:ilvl w:val="1"/>
          <w:numId w:val="6"/>
        </w:numPr>
      </w:pPr>
      <w:r w:rsidRPr="00083286">
        <w:t xml:space="preserve">Non-employees are not covered under </w:t>
      </w:r>
      <w:r w:rsidR="007029D8">
        <w:t xml:space="preserve">the university’s </w:t>
      </w:r>
      <w:r w:rsidR="007029D8" w:rsidRPr="00083286">
        <w:t>Workers’</w:t>
      </w:r>
      <w:r w:rsidRPr="00083286">
        <w:t xml:space="preserve"> Compensation Insurance and Unemployment Compensation Insurance programs.</w:t>
      </w:r>
    </w:p>
    <w:p w:rsidR="007029D8" w:rsidRDefault="007029D8" w:rsidP="007029D8">
      <w:pPr>
        <w:ind w:left="1080"/>
      </w:pPr>
    </w:p>
    <w:p w:rsidR="007029D8" w:rsidRDefault="007029D8" w:rsidP="007029D8">
      <w:pPr>
        <w:numPr>
          <w:ilvl w:val="1"/>
          <w:numId w:val="6"/>
        </w:numPr>
      </w:pPr>
      <w:r>
        <w:t>Non-employees</w:t>
      </w:r>
      <w:r w:rsidR="007C4B1F" w:rsidRPr="00083286">
        <w:t xml:space="preserve"> are not eligible to participate in any employee benefits program administered by </w:t>
      </w:r>
      <w:r>
        <w:t>the university.</w:t>
      </w:r>
    </w:p>
    <w:p w:rsidR="007029D8" w:rsidRDefault="007029D8" w:rsidP="007029D8">
      <w:pPr>
        <w:ind w:left="1080"/>
      </w:pPr>
    </w:p>
    <w:p w:rsidR="00F43E63" w:rsidRDefault="007029D8" w:rsidP="00083286">
      <w:pPr>
        <w:numPr>
          <w:ilvl w:val="1"/>
          <w:numId w:val="6"/>
        </w:numPr>
      </w:pPr>
      <w:r>
        <w:t>If a non-employee applies for an employee position and is hired, service in a non</w:t>
      </w:r>
      <w:r w:rsidR="007C4B1F" w:rsidRPr="00083286">
        <w:t xml:space="preserve">-employee position </w:t>
      </w:r>
      <w:r>
        <w:t xml:space="preserve">is not considered as time served for purposes of eligibility for internal searches or for credit related to employee </w:t>
      </w:r>
      <w:r w:rsidR="007C4B1F" w:rsidRPr="00083286">
        <w:t xml:space="preserve">benefits or retirement programs or service credit. </w:t>
      </w:r>
    </w:p>
    <w:p w:rsidR="007029D8" w:rsidRDefault="007029D8" w:rsidP="007029D8">
      <w:pPr>
        <w:ind w:left="1080"/>
      </w:pPr>
    </w:p>
    <w:p w:rsidR="007029D8" w:rsidRDefault="007C4B1F" w:rsidP="00083286">
      <w:pPr>
        <w:numPr>
          <w:ilvl w:val="1"/>
          <w:numId w:val="6"/>
        </w:numPr>
      </w:pPr>
      <w:r w:rsidRPr="00083286">
        <w:t xml:space="preserve">Individuals who have been dismissed for cause from employment with the </w:t>
      </w:r>
      <w:r w:rsidR="007029D8">
        <w:t>university</w:t>
      </w:r>
      <w:r w:rsidR="00A57CA3">
        <w:t>,</w:t>
      </w:r>
      <w:r w:rsidRPr="00083286">
        <w:t xml:space="preserve"> or who were not employed as the </w:t>
      </w:r>
      <w:r w:rsidR="007029D8">
        <w:t>result of a</w:t>
      </w:r>
      <w:r w:rsidR="00A57CA3">
        <w:t>n unacceptable</w:t>
      </w:r>
      <w:r w:rsidR="007029D8">
        <w:t xml:space="preserve"> background </w:t>
      </w:r>
      <w:r w:rsidRPr="00083286">
        <w:t>check</w:t>
      </w:r>
      <w:r w:rsidR="00A57CA3">
        <w:t>,</w:t>
      </w:r>
      <w:r w:rsidRPr="00083286">
        <w:t xml:space="preserve"> </w:t>
      </w:r>
      <w:r w:rsidR="007029D8">
        <w:t>are not eligible for</w:t>
      </w:r>
      <w:r w:rsidRPr="00083286">
        <w:t xml:space="preserve"> non-employee service with the </w:t>
      </w:r>
      <w:r w:rsidR="007029D8">
        <w:t>university.</w:t>
      </w:r>
    </w:p>
    <w:p w:rsidR="007029D8" w:rsidRDefault="007029D8" w:rsidP="007029D8">
      <w:pPr>
        <w:ind w:left="1080"/>
      </w:pPr>
    </w:p>
    <w:p w:rsidR="00BE6D94" w:rsidRDefault="007C4B1F" w:rsidP="00BE6D94">
      <w:pPr>
        <w:numPr>
          <w:ilvl w:val="1"/>
          <w:numId w:val="6"/>
        </w:numPr>
      </w:pPr>
      <w:r w:rsidRPr="00083286">
        <w:t xml:space="preserve">The </w:t>
      </w:r>
      <w:r w:rsidR="00B05C6F">
        <w:t xml:space="preserve">university </w:t>
      </w:r>
      <w:hyperlink r:id="rId11" w:anchor="430.00" w:history="1">
        <w:r w:rsidR="00B05C6F" w:rsidRPr="00BE6D94">
          <w:rPr>
            <w:rStyle w:val="Hyperlink"/>
          </w:rPr>
          <w:t>nepotism policy</w:t>
        </w:r>
      </w:hyperlink>
      <w:r w:rsidR="00BE6D94">
        <w:t xml:space="preserve"> </w:t>
      </w:r>
      <w:r w:rsidRPr="00083286">
        <w:t xml:space="preserve">will apply </w:t>
      </w:r>
      <w:r w:rsidR="00083286" w:rsidRPr="00083286">
        <w:t>to non-employee appointment</w:t>
      </w:r>
      <w:r w:rsidR="00BE6D94">
        <w:t>s</w:t>
      </w:r>
      <w:r w:rsidR="00B05C6F">
        <w:t xml:space="preserve">.  </w:t>
      </w:r>
    </w:p>
    <w:p w:rsidR="00BE6D94" w:rsidRDefault="00BE6D94" w:rsidP="00BE6D94">
      <w:pPr>
        <w:ind w:left="1080"/>
      </w:pPr>
    </w:p>
    <w:p w:rsidR="00BE6D94" w:rsidRDefault="00BE6D94" w:rsidP="00BE6D94">
      <w:pPr>
        <w:numPr>
          <w:ilvl w:val="1"/>
          <w:numId w:val="6"/>
        </w:numPr>
      </w:pPr>
      <w:r>
        <w:t xml:space="preserve">Individual in non-employee appointments must comply with the university </w:t>
      </w:r>
      <w:hyperlink r:id="rId12" w:history="1">
        <w:r w:rsidRPr="00BE6D94">
          <w:rPr>
            <w:rStyle w:val="Hyperlink"/>
          </w:rPr>
          <w:t>Non-Discrimination Policies</w:t>
        </w:r>
      </w:hyperlink>
      <w:r>
        <w:t>.</w:t>
      </w:r>
    </w:p>
    <w:p w:rsidR="00736713" w:rsidRDefault="00736713" w:rsidP="00736713">
      <w:pPr>
        <w:ind w:left="1170"/>
      </w:pPr>
    </w:p>
    <w:p w:rsidR="00736713" w:rsidRPr="00736713" w:rsidRDefault="00736713" w:rsidP="00736713">
      <w:pPr>
        <w:numPr>
          <w:ilvl w:val="0"/>
          <w:numId w:val="6"/>
        </w:numPr>
      </w:pPr>
      <w:r>
        <w:rPr>
          <w:b/>
        </w:rPr>
        <w:t>Completion of Appointment.</w:t>
      </w:r>
    </w:p>
    <w:p w:rsidR="00736713" w:rsidRDefault="00736713" w:rsidP="00736713">
      <w:pPr>
        <w:ind w:left="360"/>
        <w:rPr>
          <w:b/>
        </w:rPr>
      </w:pPr>
    </w:p>
    <w:p w:rsidR="00736713" w:rsidRDefault="00736713" w:rsidP="00736713">
      <w:r w:rsidRPr="00736713">
        <w:t xml:space="preserve">The appointing department will notify the Office of Human Resources </w:t>
      </w:r>
      <w:r w:rsidR="00577985">
        <w:t xml:space="preserve">and the Cat Card Office </w:t>
      </w:r>
      <w:r w:rsidRPr="00736713">
        <w:t>when a non-employee’s appointment has expired or is no longer providing services.</w:t>
      </w:r>
      <w:r>
        <w:t xml:space="preserve">  </w:t>
      </w:r>
      <w:r w:rsidRPr="00083286">
        <w:t xml:space="preserve">The Office of Human Resources </w:t>
      </w:r>
      <w:r>
        <w:t xml:space="preserve">may </w:t>
      </w:r>
      <w:r w:rsidRPr="00083286">
        <w:t xml:space="preserve">conduct </w:t>
      </w:r>
      <w:r>
        <w:t>periodic reviews</w:t>
      </w:r>
      <w:r w:rsidRPr="00083286">
        <w:t xml:space="preserve"> to determine the appointment status of non-employees. Non-employees who no longer work </w:t>
      </w:r>
      <w:r>
        <w:t>with,</w:t>
      </w:r>
      <w:r w:rsidRPr="00083286">
        <w:t xml:space="preserve"> or provide services to</w:t>
      </w:r>
      <w:r>
        <w:t>,</w:t>
      </w:r>
      <w:r w:rsidRPr="00083286">
        <w:t xml:space="preserve"> the </w:t>
      </w:r>
      <w:r>
        <w:t>university</w:t>
      </w:r>
      <w:r w:rsidRPr="00083286">
        <w:t xml:space="preserve"> </w:t>
      </w:r>
      <w:r>
        <w:t>will</w:t>
      </w:r>
      <w:r w:rsidRPr="00083286">
        <w:t xml:space="preserve"> be terminated by the appointing department or by the Office of Human Resources.</w:t>
      </w:r>
    </w:p>
    <w:p w:rsidR="00BE6D94" w:rsidRDefault="00BE6D94" w:rsidP="00BE6D94"/>
    <w:p w:rsidR="00083286" w:rsidRPr="00B05C6F" w:rsidRDefault="00083286" w:rsidP="00B05C6F">
      <w:pPr>
        <w:numPr>
          <w:ilvl w:val="0"/>
          <w:numId w:val="6"/>
        </w:numPr>
        <w:rPr>
          <w:b/>
        </w:rPr>
      </w:pPr>
      <w:r w:rsidRPr="00B05C6F">
        <w:rPr>
          <w:b/>
        </w:rPr>
        <w:t>Special Provisions</w:t>
      </w:r>
      <w:r w:rsidR="00E029F7">
        <w:rPr>
          <w:b/>
        </w:rPr>
        <w:t>.</w:t>
      </w:r>
    </w:p>
    <w:p w:rsidR="00B05C6F" w:rsidRDefault="00B05C6F" w:rsidP="009C0A42"/>
    <w:p w:rsidR="00F43E63" w:rsidRDefault="00083286" w:rsidP="00083286">
      <w:r w:rsidRPr="00083286">
        <w:t>The safety and securit</w:t>
      </w:r>
      <w:r w:rsidR="00DE197A">
        <w:t>y of University properties and its h</w:t>
      </w:r>
      <w:r w:rsidRPr="00083286">
        <w:t xml:space="preserve">uman resources are an important priority for the </w:t>
      </w:r>
      <w:r w:rsidR="00B05C6F">
        <w:t>university</w:t>
      </w:r>
      <w:r w:rsidR="00736713">
        <w:t>.</w:t>
      </w:r>
      <w:r w:rsidR="00B05C6F">
        <w:t xml:space="preserve">  N</w:t>
      </w:r>
      <w:r w:rsidRPr="00083286">
        <w:t>on- employee</w:t>
      </w:r>
      <w:r w:rsidR="00B05C6F">
        <w:t xml:space="preserve"> appointments must comply with applicable university</w:t>
      </w:r>
      <w:r w:rsidRPr="00083286">
        <w:t xml:space="preserve"> policies that relate to safety and security concerns</w:t>
      </w:r>
      <w:r w:rsidR="00B05C6F">
        <w:t xml:space="preserve">.  </w:t>
      </w:r>
      <w:r w:rsidRPr="00083286">
        <w:t xml:space="preserve"> </w:t>
      </w:r>
    </w:p>
    <w:p w:rsidR="00B05C6F" w:rsidRDefault="00B05C6F" w:rsidP="00083286"/>
    <w:p w:rsidR="00F43E63" w:rsidRPr="00083286" w:rsidRDefault="00B05C6F" w:rsidP="00083286">
      <w:r>
        <w:t xml:space="preserve">Any work performed by non-employees that would require approval under university policies must be approved before performed.  For example, any work on </w:t>
      </w:r>
      <w:r w:rsidR="00BE6D94">
        <w:t xml:space="preserve">or access to </w:t>
      </w:r>
      <w:r>
        <w:t>export controlled technology</w:t>
      </w:r>
      <w:r w:rsidR="00BE6D94">
        <w:t xml:space="preserve">, human subjects, animals, biological agents, radiation </w:t>
      </w:r>
      <w:r>
        <w:t xml:space="preserve">or </w:t>
      </w:r>
      <w:r w:rsidRPr="00083286">
        <w:t xml:space="preserve"> </w:t>
      </w:r>
      <w:r w:rsidR="00BE6D94">
        <w:t>any other matters that require compliance with federal regulations prior to performing the work.</w:t>
      </w:r>
    </w:p>
    <w:p w:rsidR="00BE6D94" w:rsidRDefault="00BE6D94" w:rsidP="00083286"/>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p w:rsidR="00F43E63" w:rsidRPr="007C4B1F" w:rsidRDefault="00F43E63" w:rsidP="007C4B1F">
      <w:pPr>
        <w:pStyle w:val="BodyText"/>
        <w:spacing w:before="69"/>
        <w:ind w:left="0" w:right="238" w:firstLine="0"/>
        <w:jc w:val="both"/>
        <w:rPr>
          <w:spacing w:val="-1"/>
          <w:u w:val="single" w:color="000000"/>
        </w:rPr>
      </w:pPr>
    </w:p>
    <w:sectPr w:rsidR="00F43E63" w:rsidRPr="007C4B1F" w:rsidSect="00083286">
      <w:headerReference w:type="default" r:id="rId13"/>
      <w:footerReference w:type="default" r:id="rId1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87" w:rsidRDefault="00D60987">
      <w:r>
        <w:separator/>
      </w:r>
    </w:p>
  </w:endnote>
  <w:endnote w:type="continuationSeparator" w:id="0">
    <w:p w:rsidR="00D60987" w:rsidRDefault="00D6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B1F" w:rsidRDefault="00D60987">
    <w:pPr>
      <w:spacing w:line="14" w:lineRule="auto"/>
      <w:rPr>
        <w:sz w:val="20"/>
        <w:szCs w:val="20"/>
      </w:rPr>
    </w:pPr>
    <w:r>
      <w:pict w14:anchorId="07CC4CBC">
        <v:shapetype id="_x0000_t202" coordsize="21600,21600" o:spt="202" path="m,l,21600r21600,l21600,xe">
          <v:stroke joinstyle="miter"/>
          <v:path gradientshapeok="t" o:connecttype="rect"/>
        </v:shapetype>
        <v:shape id="_x0000_s2050" type="#_x0000_t202" style="position:absolute;margin-left:44.85pt;margin-top:721.85pt;width:46.9pt;height:23.4pt;z-index:-9784;mso-position-horizontal-relative:page;mso-position-vertical-relative:page" filled="f" stroked="f">
          <v:textbox inset="0,0,0,0">
            <w:txbxContent>
              <w:p w:rsidR="007C4B1F" w:rsidRDefault="007C4B1F">
                <w:pPr>
                  <w:spacing w:line="237" w:lineRule="auto"/>
                  <w:ind w:left="20" w:right="18"/>
                  <w:rPr>
                    <w:rFonts w:ascii="Arial" w:eastAsia="Arial" w:hAnsi="Arial" w:cs="Arial"/>
                    <w:sz w:val="20"/>
                    <w:szCs w:val="20"/>
                  </w:rPr>
                </w:pPr>
              </w:p>
            </w:txbxContent>
          </v:textbox>
          <w10:wrap anchorx="page" anchory="page"/>
        </v:shape>
      </w:pict>
    </w:r>
    <w:r>
      <w:pict w14:anchorId="43A88237">
        <v:shape id="_x0000_s2049" type="#_x0000_t202" style="position:absolute;margin-left:506pt;margin-top:744.75pt;width:53.15pt;height:12pt;z-index:-9760;mso-position-horizontal-relative:page;mso-position-vertical-relative:page" filled="f" stroked="f">
          <v:textbox inset="0,0,0,0">
            <w:txbxContent>
              <w:p w:rsidR="007C4B1F" w:rsidRDefault="007C4B1F">
                <w:pPr>
                  <w:spacing w:line="224" w:lineRule="exact"/>
                  <w:ind w:left="20"/>
                  <w:rPr>
                    <w:rFonts w:ascii="Arial" w:eastAsia="Arial" w:hAnsi="Arial" w:cs="Arial"/>
                    <w:sz w:val="20"/>
                    <w:szCs w:val="20"/>
                  </w:rPr>
                </w:pPr>
                <w:r>
                  <w:rPr>
                    <w:rFonts w:ascii="Arial"/>
                    <w:sz w:val="20"/>
                  </w:rPr>
                  <w:t>Page</w:t>
                </w:r>
                <w:r>
                  <w:rPr>
                    <w:rFonts w:ascii="Arial"/>
                    <w:spacing w:val="-4"/>
                    <w:sz w:val="20"/>
                  </w:rPr>
                  <w:t xml:space="preserve"> </w:t>
                </w:r>
                <w:r>
                  <w:fldChar w:fldCharType="begin"/>
                </w:r>
                <w:r>
                  <w:rPr>
                    <w:rFonts w:ascii="Arial"/>
                    <w:sz w:val="20"/>
                  </w:rPr>
                  <w:instrText xml:space="preserve"> PAGE </w:instrText>
                </w:r>
                <w:r>
                  <w:fldChar w:fldCharType="separate"/>
                </w:r>
                <w:r w:rsidR="00A377CC">
                  <w:rPr>
                    <w:rFonts w:ascii="Arial"/>
                    <w:noProof/>
                    <w:sz w:val="20"/>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87" w:rsidRDefault="00D60987">
      <w:r>
        <w:separator/>
      </w:r>
    </w:p>
  </w:footnote>
  <w:footnote w:type="continuationSeparator" w:id="0">
    <w:p w:rsidR="00D60987" w:rsidRDefault="00D60987">
      <w:r>
        <w:continuationSeparator/>
      </w:r>
    </w:p>
  </w:footnote>
  <w:footnote w:id="1">
    <w:p w:rsidR="00577985" w:rsidRDefault="00577985">
      <w:pPr>
        <w:pStyle w:val="FootnoteText"/>
      </w:pPr>
    </w:p>
    <w:p w:rsidR="00DE197A" w:rsidRDefault="00DE197A">
      <w:pPr>
        <w:pStyle w:val="FootnoteText"/>
      </w:pPr>
      <w:r>
        <w:rPr>
          <w:rStyle w:val="FootnoteReference"/>
        </w:rPr>
        <w:footnoteRef/>
      </w:r>
      <w:r>
        <w:t xml:space="preserve"> This reference is to the Faculty Handbook that is being developed to replace the Interim Faculty Personnel Policies.  It is not yet on the web so the definition is included in italics for convenience.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B1F" w:rsidRDefault="007C4B1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F4"/>
    <w:multiLevelType w:val="hybridMultilevel"/>
    <w:tmpl w:val="E884A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6331B"/>
    <w:multiLevelType w:val="hybridMultilevel"/>
    <w:tmpl w:val="C1E85744"/>
    <w:lvl w:ilvl="0" w:tplc="57FAA4CA">
      <w:start w:val="1"/>
      <w:numFmt w:val="decimal"/>
      <w:lvlText w:val="%1."/>
      <w:lvlJc w:val="left"/>
      <w:pPr>
        <w:ind w:left="36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6921"/>
    <w:multiLevelType w:val="hybridMultilevel"/>
    <w:tmpl w:val="E1340C16"/>
    <w:lvl w:ilvl="0" w:tplc="E314387C">
      <w:start w:val="1"/>
      <w:numFmt w:val="decimal"/>
      <w:lvlText w:val="%1."/>
      <w:lvlJc w:val="left"/>
      <w:pPr>
        <w:ind w:left="596" w:hanging="360"/>
      </w:pPr>
      <w:rPr>
        <w:rFonts w:ascii="Arial" w:eastAsia="Arial" w:hAnsi="Arial" w:hint="default"/>
        <w:sz w:val="24"/>
        <w:szCs w:val="24"/>
      </w:rPr>
    </w:lvl>
    <w:lvl w:ilvl="1" w:tplc="5EAA097E">
      <w:start w:val="1"/>
      <w:numFmt w:val="bullet"/>
      <w:lvlText w:val="•"/>
      <w:lvlJc w:val="left"/>
      <w:pPr>
        <w:ind w:left="1311" w:hanging="360"/>
      </w:pPr>
      <w:rPr>
        <w:rFonts w:hint="default"/>
      </w:rPr>
    </w:lvl>
    <w:lvl w:ilvl="2" w:tplc="622A7C76">
      <w:start w:val="1"/>
      <w:numFmt w:val="bullet"/>
      <w:lvlText w:val="•"/>
      <w:lvlJc w:val="left"/>
      <w:pPr>
        <w:ind w:left="2026" w:hanging="360"/>
      </w:pPr>
      <w:rPr>
        <w:rFonts w:hint="default"/>
      </w:rPr>
    </w:lvl>
    <w:lvl w:ilvl="3" w:tplc="384AB736">
      <w:start w:val="1"/>
      <w:numFmt w:val="bullet"/>
      <w:lvlText w:val="•"/>
      <w:lvlJc w:val="left"/>
      <w:pPr>
        <w:ind w:left="2741" w:hanging="360"/>
      </w:pPr>
      <w:rPr>
        <w:rFonts w:hint="default"/>
      </w:rPr>
    </w:lvl>
    <w:lvl w:ilvl="4" w:tplc="2FA2D6F6">
      <w:start w:val="1"/>
      <w:numFmt w:val="bullet"/>
      <w:lvlText w:val="•"/>
      <w:lvlJc w:val="left"/>
      <w:pPr>
        <w:ind w:left="3456" w:hanging="360"/>
      </w:pPr>
      <w:rPr>
        <w:rFonts w:hint="default"/>
      </w:rPr>
    </w:lvl>
    <w:lvl w:ilvl="5" w:tplc="1C960128">
      <w:start w:val="1"/>
      <w:numFmt w:val="bullet"/>
      <w:lvlText w:val="•"/>
      <w:lvlJc w:val="left"/>
      <w:pPr>
        <w:ind w:left="4171" w:hanging="360"/>
      </w:pPr>
      <w:rPr>
        <w:rFonts w:hint="default"/>
      </w:rPr>
    </w:lvl>
    <w:lvl w:ilvl="6" w:tplc="BF52638A">
      <w:start w:val="1"/>
      <w:numFmt w:val="bullet"/>
      <w:lvlText w:val="•"/>
      <w:lvlJc w:val="left"/>
      <w:pPr>
        <w:ind w:left="4886" w:hanging="360"/>
      </w:pPr>
      <w:rPr>
        <w:rFonts w:hint="default"/>
      </w:rPr>
    </w:lvl>
    <w:lvl w:ilvl="7" w:tplc="FF88A414">
      <w:start w:val="1"/>
      <w:numFmt w:val="bullet"/>
      <w:lvlText w:val="•"/>
      <w:lvlJc w:val="left"/>
      <w:pPr>
        <w:ind w:left="5601" w:hanging="360"/>
      </w:pPr>
      <w:rPr>
        <w:rFonts w:hint="default"/>
      </w:rPr>
    </w:lvl>
    <w:lvl w:ilvl="8" w:tplc="2A50A980">
      <w:start w:val="1"/>
      <w:numFmt w:val="bullet"/>
      <w:lvlText w:val="•"/>
      <w:lvlJc w:val="left"/>
      <w:pPr>
        <w:ind w:left="6316" w:hanging="360"/>
      </w:pPr>
      <w:rPr>
        <w:rFonts w:hint="default"/>
      </w:rPr>
    </w:lvl>
  </w:abstractNum>
  <w:abstractNum w:abstractNumId="3" w15:restartNumberingAfterBreak="0">
    <w:nsid w:val="0A84123E"/>
    <w:multiLevelType w:val="hybridMultilevel"/>
    <w:tmpl w:val="176CF5F0"/>
    <w:lvl w:ilvl="0" w:tplc="9C9488EA">
      <w:start w:val="1"/>
      <w:numFmt w:val="decimal"/>
      <w:lvlText w:val="%1."/>
      <w:lvlJc w:val="left"/>
      <w:pPr>
        <w:ind w:left="1029" w:hanging="360"/>
        <w:jc w:val="right"/>
      </w:pPr>
      <w:rPr>
        <w:rFonts w:ascii="Arial" w:eastAsia="Arial" w:hAnsi="Arial" w:hint="default"/>
        <w:sz w:val="24"/>
        <w:szCs w:val="24"/>
      </w:rPr>
    </w:lvl>
    <w:lvl w:ilvl="1" w:tplc="067C1226">
      <w:start w:val="1"/>
      <w:numFmt w:val="bullet"/>
      <w:lvlText w:val="•"/>
      <w:lvlJc w:val="left"/>
      <w:pPr>
        <w:ind w:left="1744" w:hanging="360"/>
      </w:pPr>
      <w:rPr>
        <w:rFonts w:hint="default"/>
      </w:rPr>
    </w:lvl>
    <w:lvl w:ilvl="2" w:tplc="901E3E66">
      <w:start w:val="1"/>
      <w:numFmt w:val="bullet"/>
      <w:lvlText w:val="•"/>
      <w:lvlJc w:val="left"/>
      <w:pPr>
        <w:ind w:left="2459" w:hanging="360"/>
      </w:pPr>
      <w:rPr>
        <w:rFonts w:hint="default"/>
      </w:rPr>
    </w:lvl>
    <w:lvl w:ilvl="3" w:tplc="3426005A">
      <w:start w:val="1"/>
      <w:numFmt w:val="bullet"/>
      <w:lvlText w:val="•"/>
      <w:lvlJc w:val="left"/>
      <w:pPr>
        <w:ind w:left="3174" w:hanging="360"/>
      </w:pPr>
      <w:rPr>
        <w:rFonts w:hint="default"/>
      </w:rPr>
    </w:lvl>
    <w:lvl w:ilvl="4" w:tplc="DE9CBB04">
      <w:start w:val="1"/>
      <w:numFmt w:val="bullet"/>
      <w:lvlText w:val="•"/>
      <w:lvlJc w:val="left"/>
      <w:pPr>
        <w:ind w:left="3889" w:hanging="360"/>
      </w:pPr>
      <w:rPr>
        <w:rFonts w:hint="default"/>
      </w:rPr>
    </w:lvl>
    <w:lvl w:ilvl="5" w:tplc="161A5080">
      <w:start w:val="1"/>
      <w:numFmt w:val="bullet"/>
      <w:lvlText w:val="•"/>
      <w:lvlJc w:val="left"/>
      <w:pPr>
        <w:ind w:left="4604" w:hanging="360"/>
      </w:pPr>
      <w:rPr>
        <w:rFonts w:hint="default"/>
      </w:rPr>
    </w:lvl>
    <w:lvl w:ilvl="6" w:tplc="9138B624">
      <w:start w:val="1"/>
      <w:numFmt w:val="bullet"/>
      <w:lvlText w:val="•"/>
      <w:lvlJc w:val="left"/>
      <w:pPr>
        <w:ind w:left="5319" w:hanging="360"/>
      </w:pPr>
      <w:rPr>
        <w:rFonts w:hint="default"/>
      </w:rPr>
    </w:lvl>
    <w:lvl w:ilvl="7" w:tplc="09E00FEC">
      <w:start w:val="1"/>
      <w:numFmt w:val="bullet"/>
      <w:lvlText w:val="•"/>
      <w:lvlJc w:val="left"/>
      <w:pPr>
        <w:ind w:left="6034" w:hanging="360"/>
      </w:pPr>
      <w:rPr>
        <w:rFonts w:hint="default"/>
      </w:rPr>
    </w:lvl>
    <w:lvl w:ilvl="8" w:tplc="3ED0262A">
      <w:start w:val="1"/>
      <w:numFmt w:val="bullet"/>
      <w:lvlText w:val="•"/>
      <w:lvlJc w:val="left"/>
      <w:pPr>
        <w:ind w:left="6749" w:hanging="360"/>
      </w:pPr>
      <w:rPr>
        <w:rFonts w:hint="default"/>
      </w:rPr>
    </w:lvl>
  </w:abstractNum>
  <w:abstractNum w:abstractNumId="4" w15:restartNumberingAfterBreak="0">
    <w:nsid w:val="148C7182"/>
    <w:multiLevelType w:val="multilevel"/>
    <w:tmpl w:val="A356B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A41"/>
    <w:multiLevelType w:val="hybridMultilevel"/>
    <w:tmpl w:val="7AACB9C4"/>
    <w:lvl w:ilvl="0" w:tplc="0ACA25BA">
      <w:start w:val="1"/>
      <w:numFmt w:val="decimal"/>
      <w:lvlText w:val="%1."/>
      <w:lvlJc w:val="left"/>
      <w:pPr>
        <w:ind w:left="898" w:hanging="360"/>
      </w:pPr>
      <w:rPr>
        <w:rFonts w:ascii="Arial" w:eastAsia="Arial" w:hAnsi="Arial" w:hint="default"/>
        <w:sz w:val="24"/>
        <w:szCs w:val="24"/>
      </w:rPr>
    </w:lvl>
    <w:lvl w:ilvl="1" w:tplc="D82484B8">
      <w:start w:val="1"/>
      <w:numFmt w:val="bullet"/>
      <w:lvlText w:val="•"/>
      <w:lvlJc w:val="left"/>
      <w:pPr>
        <w:ind w:left="1600" w:hanging="360"/>
      </w:pPr>
      <w:rPr>
        <w:rFonts w:hint="default"/>
      </w:rPr>
    </w:lvl>
    <w:lvl w:ilvl="2" w:tplc="139A3C70">
      <w:start w:val="1"/>
      <w:numFmt w:val="bullet"/>
      <w:lvlText w:val="•"/>
      <w:lvlJc w:val="left"/>
      <w:pPr>
        <w:ind w:left="2302" w:hanging="360"/>
      </w:pPr>
      <w:rPr>
        <w:rFonts w:hint="default"/>
      </w:rPr>
    </w:lvl>
    <w:lvl w:ilvl="3" w:tplc="20720348">
      <w:start w:val="1"/>
      <w:numFmt w:val="bullet"/>
      <w:lvlText w:val="•"/>
      <w:lvlJc w:val="left"/>
      <w:pPr>
        <w:ind w:left="3005" w:hanging="360"/>
      </w:pPr>
      <w:rPr>
        <w:rFonts w:hint="default"/>
      </w:rPr>
    </w:lvl>
    <w:lvl w:ilvl="4" w:tplc="3ECEF0E2">
      <w:start w:val="1"/>
      <w:numFmt w:val="bullet"/>
      <w:lvlText w:val="•"/>
      <w:lvlJc w:val="left"/>
      <w:pPr>
        <w:ind w:left="3707" w:hanging="360"/>
      </w:pPr>
      <w:rPr>
        <w:rFonts w:hint="default"/>
      </w:rPr>
    </w:lvl>
    <w:lvl w:ilvl="5" w:tplc="C5EEF334">
      <w:start w:val="1"/>
      <w:numFmt w:val="bullet"/>
      <w:lvlText w:val="•"/>
      <w:lvlJc w:val="left"/>
      <w:pPr>
        <w:ind w:left="4409" w:hanging="360"/>
      </w:pPr>
      <w:rPr>
        <w:rFonts w:hint="default"/>
      </w:rPr>
    </w:lvl>
    <w:lvl w:ilvl="6" w:tplc="C33C8B54">
      <w:start w:val="1"/>
      <w:numFmt w:val="bullet"/>
      <w:lvlText w:val="•"/>
      <w:lvlJc w:val="left"/>
      <w:pPr>
        <w:ind w:left="5112" w:hanging="360"/>
      </w:pPr>
      <w:rPr>
        <w:rFonts w:hint="default"/>
      </w:rPr>
    </w:lvl>
    <w:lvl w:ilvl="7" w:tplc="86E22D0A">
      <w:start w:val="1"/>
      <w:numFmt w:val="bullet"/>
      <w:lvlText w:val="•"/>
      <w:lvlJc w:val="left"/>
      <w:pPr>
        <w:ind w:left="5814" w:hanging="360"/>
      </w:pPr>
      <w:rPr>
        <w:rFonts w:hint="default"/>
      </w:rPr>
    </w:lvl>
    <w:lvl w:ilvl="8" w:tplc="1CDA4B62">
      <w:start w:val="1"/>
      <w:numFmt w:val="bullet"/>
      <w:lvlText w:val="•"/>
      <w:lvlJc w:val="left"/>
      <w:pPr>
        <w:ind w:left="6516" w:hanging="360"/>
      </w:pPr>
      <w:rPr>
        <w:rFonts w:hint="default"/>
      </w:rPr>
    </w:lvl>
  </w:abstractNum>
  <w:abstractNum w:abstractNumId="6" w15:restartNumberingAfterBreak="0">
    <w:nsid w:val="244A5BD6"/>
    <w:multiLevelType w:val="hybridMultilevel"/>
    <w:tmpl w:val="AFBC2AA4"/>
    <w:lvl w:ilvl="0" w:tplc="239A0DD4">
      <w:start w:val="1"/>
      <w:numFmt w:val="decimal"/>
      <w:lvlText w:val="%1."/>
      <w:lvlJc w:val="left"/>
      <w:pPr>
        <w:ind w:left="898" w:hanging="360"/>
      </w:pPr>
      <w:rPr>
        <w:rFonts w:ascii="Arial" w:eastAsia="Arial" w:hAnsi="Arial" w:hint="default"/>
        <w:sz w:val="24"/>
        <w:szCs w:val="24"/>
      </w:rPr>
    </w:lvl>
    <w:lvl w:ilvl="1" w:tplc="EA042B76">
      <w:start w:val="1"/>
      <w:numFmt w:val="bullet"/>
      <w:lvlText w:val="•"/>
      <w:lvlJc w:val="left"/>
      <w:pPr>
        <w:ind w:left="1600" w:hanging="360"/>
      </w:pPr>
      <w:rPr>
        <w:rFonts w:hint="default"/>
      </w:rPr>
    </w:lvl>
    <w:lvl w:ilvl="2" w:tplc="D654EAFC">
      <w:start w:val="1"/>
      <w:numFmt w:val="bullet"/>
      <w:lvlText w:val="•"/>
      <w:lvlJc w:val="left"/>
      <w:pPr>
        <w:ind w:left="2302" w:hanging="360"/>
      </w:pPr>
      <w:rPr>
        <w:rFonts w:hint="default"/>
      </w:rPr>
    </w:lvl>
    <w:lvl w:ilvl="3" w:tplc="8214AD9E">
      <w:start w:val="1"/>
      <w:numFmt w:val="bullet"/>
      <w:lvlText w:val="•"/>
      <w:lvlJc w:val="left"/>
      <w:pPr>
        <w:ind w:left="3005" w:hanging="360"/>
      </w:pPr>
      <w:rPr>
        <w:rFonts w:hint="default"/>
      </w:rPr>
    </w:lvl>
    <w:lvl w:ilvl="4" w:tplc="3072D086">
      <w:start w:val="1"/>
      <w:numFmt w:val="bullet"/>
      <w:lvlText w:val="•"/>
      <w:lvlJc w:val="left"/>
      <w:pPr>
        <w:ind w:left="3707" w:hanging="360"/>
      </w:pPr>
      <w:rPr>
        <w:rFonts w:hint="default"/>
      </w:rPr>
    </w:lvl>
    <w:lvl w:ilvl="5" w:tplc="3C1C7ED6">
      <w:start w:val="1"/>
      <w:numFmt w:val="bullet"/>
      <w:lvlText w:val="•"/>
      <w:lvlJc w:val="left"/>
      <w:pPr>
        <w:ind w:left="4409" w:hanging="360"/>
      </w:pPr>
      <w:rPr>
        <w:rFonts w:hint="default"/>
      </w:rPr>
    </w:lvl>
    <w:lvl w:ilvl="6" w:tplc="4FE2FF0A">
      <w:start w:val="1"/>
      <w:numFmt w:val="bullet"/>
      <w:lvlText w:val="•"/>
      <w:lvlJc w:val="left"/>
      <w:pPr>
        <w:ind w:left="5112" w:hanging="360"/>
      </w:pPr>
      <w:rPr>
        <w:rFonts w:hint="default"/>
      </w:rPr>
    </w:lvl>
    <w:lvl w:ilvl="7" w:tplc="D6CCECE2">
      <w:start w:val="1"/>
      <w:numFmt w:val="bullet"/>
      <w:lvlText w:val="•"/>
      <w:lvlJc w:val="left"/>
      <w:pPr>
        <w:ind w:left="5814" w:hanging="360"/>
      </w:pPr>
      <w:rPr>
        <w:rFonts w:hint="default"/>
      </w:rPr>
    </w:lvl>
    <w:lvl w:ilvl="8" w:tplc="44A27ADE">
      <w:start w:val="1"/>
      <w:numFmt w:val="bullet"/>
      <w:lvlText w:val="•"/>
      <w:lvlJc w:val="left"/>
      <w:pPr>
        <w:ind w:left="6516" w:hanging="360"/>
      </w:pPr>
      <w:rPr>
        <w:rFonts w:hint="default"/>
      </w:rPr>
    </w:lvl>
  </w:abstractNum>
  <w:abstractNum w:abstractNumId="7" w15:restartNumberingAfterBreak="0">
    <w:nsid w:val="2F5E5E42"/>
    <w:multiLevelType w:val="hybridMultilevel"/>
    <w:tmpl w:val="A4B2F048"/>
    <w:lvl w:ilvl="0" w:tplc="8710129E">
      <w:start w:val="1"/>
      <w:numFmt w:val="decimal"/>
      <w:lvlText w:val="%1."/>
      <w:lvlJc w:val="left"/>
      <w:pPr>
        <w:ind w:left="3729" w:hanging="360"/>
      </w:pPr>
      <w:rPr>
        <w:rFonts w:ascii="Arial" w:eastAsia="Arial" w:hAnsi="Arial" w:hint="default"/>
        <w:sz w:val="24"/>
        <w:szCs w:val="24"/>
      </w:rPr>
    </w:lvl>
    <w:lvl w:ilvl="1" w:tplc="9FD8C3A6">
      <w:start w:val="1"/>
      <w:numFmt w:val="bullet"/>
      <w:lvlText w:val="•"/>
      <w:lvlJc w:val="left"/>
      <w:pPr>
        <w:ind w:left="4444" w:hanging="360"/>
      </w:pPr>
      <w:rPr>
        <w:rFonts w:hint="default"/>
      </w:rPr>
    </w:lvl>
    <w:lvl w:ilvl="2" w:tplc="3990B772">
      <w:start w:val="1"/>
      <w:numFmt w:val="bullet"/>
      <w:lvlText w:val="•"/>
      <w:lvlJc w:val="left"/>
      <w:pPr>
        <w:ind w:left="5159" w:hanging="360"/>
      </w:pPr>
      <w:rPr>
        <w:rFonts w:hint="default"/>
      </w:rPr>
    </w:lvl>
    <w:lvl w:ilvl="3" w:tplc="247E5E88">
      <w:start w:val="1"/>
      <w:numFmt w:val="bullet"/>
      <w:lvlText w:val="•"/>
      <w:lvlJc w:val="left"/>
      <w:pPr>
        <w:ind w:left="5874" w:hanging="360"/>
      </w:pPr>
      <w:rPr>
        <w:rFonts w:hint="default"/>
      </w:rPr>
    </w:lvl>
    <w:lvl w:ilvl="4" w:tplc="11F2AF6E">
      <w:start w:val="1"/>
      <w:numFmt w:val="bullet"/>
      <w:lvlText w:val="•"/>
      <w:lvlJc w:val="left"/>
      <w:pPr>
        <w:ind w:left="6589" w:hanging="360"/>
      </w:pPr>
      <w:rPr>
        <w:rFonts w:hint="default"/>
      </w:rPr>
    </w:lvl>
    <w:lvl w:ilvl="5" w:tplc="A44699EC">
      <w:start w:val="1"/>
      <w:numFmt w:val="bullet"/>
      <w:lvlText w:val="•"/>
      <w:lvlJc w:val="left"/>
      <w:pPr>
        <w:ind w:left="7304" w:hanging="360"/>
      </w:pPr>
      <w:rPr>
        <w:rFonts w:hint="default"/>
      </w:rPr>
    </w:lvl>
    <w:lvl w:ilvl="6" w:tplc="83503BC4">
      <w:start w:val="1"/>
      <w:numFmt w:val="bullet"/>
      <w:lvlText w:val="•"/>
      <w:lvlJc w:val="left"/>
      <w:pPr>
        <w:ind w:left="8019" w:hanging="360"/>
      </w:pPr>
      <w:rPr>
        <w:rFonts w:hint="default"/>
      </w:rPr>
    </w:lvl>
    <w:lvl w:ilvl="7" w:tplc="5EDEE414">
      <w:start w:val="1"/>
      <w:numFmt w:val="bullet"/>
      <w:lvlText w:val="•"/>
      <w:lvlJc w:val="left"/>
      <w:pPr>
        <w:ind w:left="8734" w:hanging="360"/>
      </w:pPr>
      <w:rPr>
        <w:rFonts w:hint="default"/>
      </w:rPr>
    </w:lvl>
    <w:lvl w:ilvl="8" w:tplc="54F8338E">
      <w:start w:val="1"/>
      <w:numFmt w:val="bullet"/>
      <w:lvlText w:val="•"/>
      <w:lvlJc w:val="left"/>
      <w:pPr>
        <w:ind w:left="9449" w:hanging="360"/>
      </w:pPr>
      <w:rPr>
        <w:rFonts w:hint="default"/>
      </w:rPr>
    </w:lvl>
  </w:abstractNum>
  <w:abstractNum w:abstractNumId="8" w15:restartNumberingAfterBreak="0">
    <w:nsid w:val="392D3BB6"/>
    <w:multiLevelType w:val="hybridMultilevel"/>
    <w:tmpl w:val="BEF2C426"/>
    <w:lvl w:ilvl="0" w:tplc="0409000F">
      <w:start w:val="1"/>
      <w:numFmt w:val="decimal"/>
      <w:lvlText w:val="%1."/>
      <w:lvlJc w:val="left"/>
      <w:pPr>
        <w:ind w:left="360" w:hanging="360"/>
      </w:pPr>
    </w:lvl>
    <w:lvl w:ilvl="1" w:tplc="83ACE9C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C722061"/>
    <w:multiLevelType w:val="hybridMultilevel"/>
    <w:tmpl w:val="CB4A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040CD"/>
    <w:multiLevelType w:val="hybridMultilevel"/>
    <w:tmpl w:val="7758D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7"/>
  </w:num>
  <w:num w:numId="6">
    <w:abstractNumId w:val="1"/>
  </w:num>
  <w:num w:numId="7">
    <w:abstractNumId w:val="10"/>
  </w:num>
  <w:num w:numId="8">
    <w:abstractNumId w:val="9"/>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43E63"/>
    <w:rsid w:val="00006152"/>
    <w:rsid w:val="00083286"/>
    <w:rsid w:val="000E6A60"/>
    <w:rsid w:val="001D1670"/>
    <w:rsid w:val="00230C8A"/>
    <w:rsid w:val="002865DE"/>
    <w:rsid w:val="00366B8D"/>
    <w:rsid w:val="00386197"/>
    <w:rsid w:val="003E4346"/>
    <w:rsid w:val="0048346F"/>
    <w:rsid w:val="004913B9"/>
    <w:rsid w:val="005073AA"/>
    <w:rsid w:val="00535C70"/>
    <w:rsid w:val="00541FBA"/>
    <w:rsid w:val="00577985"/>
    <w:rsid w:val="005C2EF9"/>
    <w:rsid w:val="005D68BA"/>
    <w:rsid w:val="007029D8"/>
    <w:rsid w:val="00736713"/>
    <w:rsid w:val="007C4B1F"/>
    <w:rsid w:val="00872090"/>
    <w:rsid w:val="00882772"/>
    <w:rsid w:val="008D48C5"/>
    <w:rsid w:val="009666BE"/>
    <w:rsid w:val="009A653A"/>
    <w:rsid w:val="00A377CC"/>
    <w:rsid w:val="00A4417F"/>
    <w:rsid w:val="00A57CA3"/>
    <w:rsid w:val="00B05C6F"/>
    <w:rsid w:val="00B12B4E"/>
    <w:rsid w:val="00BD3523"/>
    <w:rsid w:val="00BE6D94"/>
    <w:rsid w:val="00C0062C"/>
    <w:rsid w:val="00D04A41"/>
    <w:rsid w:val="00D60987"/>
    <w:rsid w:val="00DE197A"/>
    <w:rsid w:val="00E029F7"/>
    <w:rsid w:val="00E20FCA"/>
    <w:rsid w:val="00EC17E9"/>
    <w:rsid w:val="00EC262E"/>
    <w:rsid w:val="00F43E63"/>
    <w:rsid w:val="00FD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20E990C-3756-4545-B77B-0C10F117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spacing w:before="116"/>
      <w:ind w:left="236"/>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29"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4B1F"/>
    <w:pPr>
      <w:tabs>
        <w:tab w:val="center" w:pos="4680"/>
        <w:tab w:val="right" w:pos="9360"/>
      </w:tabs>
    </w:pPr>
  </w:style>
  <w:style w:type="character" w:customStyle="1" w:styleId="HeaderChar">
    <w:name w:val="Header Char"/>
    <w:basedOn w:val="DefaultParagraphFont"/>
    <w:link w:val="Header"/>
    <w:uiPriority w:val="99"/>
    <w:rsid w:val="007C4B1F"/>
  </w:style>
  <w:style w:type="paragraph" w:styleId="Footer">
    <w:name w:val="footer"/>
    <w:basedOn w:val="Normal"/>
    <w:link w:val="FooterChar"/>
    <w:uiPriority w:val="99"/>
    <w:unhideWhenUsed/>
    <w:rsid w:val="007C4B1F"/>
    <w:pPr>
      <w:tabs>
        <w:tab w:val="center" w:pos="4680"/>
        <w:tab w:val="right" w:pos="9360"/>
      </w:tabs>
    </w:pPr>
  </w:style>
  <w:style w:type="character" w:customStyle="1" w:styleId="FooterChar">
    <w:name w:val="Footer Char"/>
    <w:basedOn w:val="DefaultParagraphFont"/>
    <w:link w:val="Footer"/>
    <w:uiPriority w:val="99"/>
    <w:rsid w:val="007C4B1F"/>
  </w:style>
  <w:style w:type="table" w:customStyle="1" w:styleId="Calendar1">
    <w:name w:val="Calendar 1"/>
    <w:basedOn w:val="TableNormal"/>
    <w:uiPriority w:val="99"/>
    <w:qFormat/>
    <w:rsid w:val="007C4B1F"/>
    <w:pPr>
      <w:widowControl/>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083286"/>
    <w:rPr>
      <w:color w:val="0000FF" w:themeColor="hyperlink"/>
      <w:u w:val="single"/>
    </w:rPr>
  </w:style>
  <w:style w:type="table" w:styleId="TableGrid">
    <w:name w:val="Table Grid"/>
    <w:basedOn w:val="TableNormal"/>
    <w:uiPriority w:val="59"/>
    <w:rsid w:val="0008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6D94"/>
    <w:rPr>
      <w:color w:val="800080" w:themeColor="followedHyperlink"/>
      <w:u w:val="single"/>
    </w:rPr>
  </w:style>
  <w:style w:type="paragraph" w:styleId="NoSpacing">
    <w:name w:val="No Spacing"/>
    <w:uiPriority w:val="1"/>
    <w:qFormat/>
    <w:rsid w:val="00BE6D94"/>
  </w:style>
  <w:style w:type="paragraph" w:styleId="BalloonText">
    <w:name w:val="Balloon Text"/>
    <w:basedOn w:val="Normal"/>
    <w:link w:val="BalloonTextChar"/>
    <w:uiPriority w:val="99"/>
    <w:semiHidden/>
    <w:unhideWhenUsed/>
    <w:rsid w:val="000E6A60"/>
    <w:rPr>
      <w:rFonts w:ascii="Tahoma" w:hAnsi="Tahoma" w:cs="Tahoma"/>
      <w:sz w:val="16"/>
      <w:szCs w:val="16"/>
    </w:rPr>
  </w:style>
  <w:style w:type="character" w:customStyle="1" w:styleId="BalloonTextChar">
    <w:name w:val="Balloon Text Char"/>
    <w:basedOn w:val="DefaultParagraphFont"/>
    <w:link w:val="BalloonText"/>
    <w:uiPriority w:val="99"/>
    <w:semiHidden/>
    <w:rsid w:val="000E6A60"/>
    <w:rPr>
      <w:rFonts w:ascii="Tahoma" w:hAnsi="Tahoma" w:cs="Tahoma"/>
      <w:sz w:val="16"/>
      <w:szCs w:val="16"/>
    </w:rPr>
  </w:style>
  <w:style w:type="character" w:styleId="CommentReference">
    <w:name w:val="annotation reference"/>
    <w:basedOn w:val="DefaultParagraphFont"/>
    <w:uiPriority w:val="99"/>
    <w:semiHidden/>
    <w:unhideWhenUsed/>
    <w:rsid w:val="00FD2068"/>
    <w:rPr>
      <w:sz w:val="16"/>
      <w:szCs w:val="16"/>
    </w:rPr>
  </w:style>
  <w:style w:type="paragraph" w:styleId="CommentText">
    <w:name w:val="annotation text"/>
    <w:basedOn w:val="Normal"/>
    <w:link w:val="CommentTextChar"/>
    <w:uiPriority w:val="99"/>
    <w:semiHidden/>
    <w:unhideWhenUsed/>
    <w:rsid w:val="00FD2068"/>
    <w:rPr>
      <w:sz w:val="20"/>
      <w:szCs w:val="20"/>
    </w:rPr>
  </w:style>
  <w:style w:type="character" w:customStyle="1" w:styleId="CommentTextChar">
    <w:name w:val="Comment Text Char"/>
    <w:basedOn w:val="DefaultParagraphFont"/>
    <w:link w:val="CommentText"/>
    <w:uiPriority w:val="99"/>
    <w:semiHidden/>
    <w:rsid w:val="00FD2068"/>
    <w:rPr>
      <w:sz w:val="20"/>
      <w:szCs w:val="20"/>
    </w:rPr>
  </w:style>
  <w:style w:type="paragraph" w:styleId="CommentSubject">
    <w:name w:val="annotation subject"/>
    <w:basedOn w:val="CommentText"/>
    <w:next w:val="CommentText"/>
    <w:link w:val="CommentSubjectChar"/>
    <w:uiPriority w:val="99"/>
    <w:semiHidden/>
    <w:unhideWhenUsed/>
    <w:rsid w:val="00FD2068"/>
    <w:rPr>
      <w:b/>
      <w:bCs/>
    </w:rPr>
  </w:style>
  <w:style w:type="character" w:customStyle="1" w:styleId="CommentSubjectChar">
    <w:name w:val="Comment Subject Char"/>
    <w:basedOn w:val="CommentTextChar"/>
    <w:link w:val="CommentSubject"/>
    <w:uiPriority w:val="99"/>
    <w:semiHidden/>
    <w:rsid w:val="00FD2068"/>
    <w:rPr>
      <w:b/>
      <w:bCs/>
      <w:sz w:val="20"/>
      <w:szCs w:val="20"/>
    </w:rPr>
  </w:style>
  <w:style w:type="paragraph" w:styleId="FootnoteText">
    <w:name w:val="footnote text"/>
    <w:basedOn w:val="Normal"/>
    <w:link w:val="FootnoteTextChar"/>
    <w:uiPriority w:val="99"/>
    <w:semiHidden/>
    <w:unhideWhenUsed/>
    <w:rsid w:val="00DE197A"/>
    <w:rPr>
      <w:sz w:val="20"/>
      <w:szCs w:val="20"/>
    </w:rPr>
  </w:style>
  <w:style w:type="character" w:customStyle="1" w:styleId="FootnoteTextChar">
    <w:name w:val="Footnote Text Char"/>
    <w:basedOn w:val="DefaultParagraphFont"/>
    <w:link w:val="FootnoteText"/>
    <w:uiPriority w:val="99"/>
    <w:semiHidden/>
    <w:rsid w:val="00DE197A"/>
    <w:rPr>
      <w:sz w:val="20"/>
      <w:szCs w:val="20"/>
    </w:rPr>
  </w:style>
  <w:style w:type="character" w:styleId="FootnoteReference">
    <w:name w:val="footnote reference"/>
    <w:basedOn w:val="DefaultParagraphFont"/>
    <w:uiPriority w:val="99"/>
    <w:semiHidden/>
    <w:unhideWhenUsed/>
    <w:rsid w:val="00DE19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261">
      <w:bodyDiv w:val="1"/>
      <w:marLeft w:val="0"/>
      <w:marRight w:val="0"/>
      <w:marTop w:val="0"/>
      <w:marBottom w:val="0"/>
      <w:divBdr>
        <w:top w:val="none" w:sz="0" w:space="0" w:color="auto"/>
        <w:left w:val="none" w:sz="0" w:space="0" w:color="auto"/>
        <w:bottom w:val="none" w:sz="0" w:space="0" w:color="auto"/>
        <w:right w:val="none" w:sz="0" w:space="0" w:color="auto"/>
      </w:divBdr>
    </w:div>
    <w:div w:id="321660784">
      <w:bodyDiv w:val="1"/>
      <w:marLeft w:val="0"/>
      <w:marRight w:val="0"/>
      <w:marTop w:val="0"/>
      <w:marBottom w:val="0"/>
      <w:divBdr>
        <w:top w:val="none" w:sz="0" w:space="0" w:color="auto"/>
        <w:left w:val="none" w:sz="0" w:space="0" w:color="auto"/>
        <w:bottom w:val="none" w:sz="0" w:space="0" w:color="auto"/>
        <w:right w:val="none" w:sz="0" w:space="0" w:color="auto"/>
      </w:divBdr>
      <w:divsChild>
        <w:div w:id="740519237">
          <w:marLeft w:val="0"/>
          <w:marRight w:val="0"/>
          <w:marTop w:val="0"/>
          <w:marBottom w:val="0"/>
          <w:divBdr>
            <w:top w:val="none" w:sz="0" w:space="0" w:color="auto"/>
            <w:left w:val="none" w:sz="0" w:space="0" w:color="auto"/>
            <w:bottom w:val="none" w:sz="0" w:space="0" w:color="auto"/>
            <w:right w:val="none" w:sz="0" w:space="0" w:color="auto"/>
          </w:divBdr>
        </w:div>
        <w:div w:id="653148287">
          <w:marLeft w:val="0"/>
          <w:marRight w:val="0"/>
          <w:marTop w:val="0"/>
          <w:marBottom w:val="0"/>
          <w:divBdr>
            <w:top w:val="none" w:sz="0" w:space="0" w:color="auto"/>
            <w:left w:val="none" w:sz="0" w:space="0" w:color="auto"/>
            <w:bottom w:val="none" w:sz="0" w:space="0" w:color="auto"/>
            <w:right w:val="none" w:sz="0" w:space="0" w:color="auto"/>
          </w:divBdr>
        </w:div>
        <w:div w:id="1504857040">
          <w:marLeft w:val="0"/>
          <w:marRight w:val="0"/>
          <w:marTop w:val="0"/>
          <w:marBottom w:val="0"/>
          <w:divBdr>
            <w:top w:val="none" w:sz="0" w:space="0" w:color="auto"/>
            <w:left w:val="none" w:sz="0" w:space="0" w:color="auto"/>
            <w:bottom w:val="none" w:sz="0" w:space="0" w:color="auto"/>
            <w:right w:val="none" w:sz="0" w:space="0" w:color="auto"/>
          </w:divBdr>
        </w:div>
        <w:div w:id="118305918">
          <w:marLeft w:val="0"/>
          <w:marRight w:val="0"/>
          <w:marTop w:val="0"/>
          <w:marBottom w:val="0"/>
          <w:divBdr>
            <w:top w:val="none" w:sz="0" w:space="0" w:color="auto"/>
            <w:left w:val="none" w:sz="0" w:space="0" w:color="auto"/>
            <w:bottom w:val="none" w:sz="0" w:space="0" w:color="auto"/>
            <w:right w:val="none" w:sz="0" w:space="0" w:color="auto"/>
          </w:divBdr>
        </w:div>
        <w:div w:id="1833182125">
          <w:marLeft w:val="0"/>
          <w:marRight w:val="0"/>
          <w:marTop w:val="0"/>
          <w:marBottom w:val="0"/>
          <w:divBdr>
            <w:top w:val="none" w:sz="0" w:space="0" w:color="auto"/>
            <w:left w:val="none" w:sz="0" w:space="0" w:color="auto"/>
            <w:bottom w:val="none" w:sz="0" w:space="0" w:color="auto"/>
            <w:right w:val="none" w:sz="0" w:space="0" w:color="auto"/>
          </w:divBdr>
        </w:div>
        <w:div w:id="644622063">
          <w:marLeft w:val="0"/>
          <w:marRight w:val="0"/>
          <w:marTop w:val="0"/>
          <w:marBottom w:val="0"/>
          <w:divBdr>
            <w:top w:val="none" w:sz="0" w:space="0" w:color="auto"/>
            <w:left w:val="none" w:sz="0" w:space="0" w:color="auto"/>
            <w:bottom w:val="none" w:sz="0" w:space="0" w:color="auto"/>
            <w:right w:val="none" w:sz="0" w:space="0" w:color="auto"/>
          </w:divBdr>
        </w:div>
        <w:div w:id="675232809">
          <w:marLeft w:val="0"/>
          <w:marRight w:val="0"/>
          <w:marTop w:val="0"/>
          <w:marBottom w:val="0"/>
          <w:divBdr>
            <w:top w:val="none" w:sz="0" w:space="0" w:color="auto"/>
            <w:left w:val="none" w:sz="0" w:space="0" w:color="auto"/>
            <w:bottom w:val="none" w:sz="0" w:space="0" w:color="auto"/>
            <w:right w:val="none" w:sz="0" w:space="0" w:color="auto"/>
          </w:divBdr>
        </w:div>
        <w:div w:id="2006786876">
          <w:marLeft w:val="0"/>
          <w:marRight w:val="0"/>
          <w:marTop w:val="0"/>
          <w:marBottom w:val="0"/>
          <w:divBdr>
            <w:top w:val="none" w:sz="0" w:space="0" w:color="auto"/>
            <w:left w:val="none" w:sz="0" w:space="0" w:color="auto"/>
            <w:bottom w:val="none" w:sz="0" w:space="0" w:color="auto"/>
            <w:right w:val="none" w:sz="0" w:space="0" w:color="auto"/>
          </w:divBdr>
        </w:div>
        <w:div w:id="1508445929">
          <w:marLeft w:val="0"/>
          <w:marRight w:val="0"/>
          <w:marTop w:val="0"/>
          <w:marBottom w:val="0"/>
          <w:divBdr>
            <w:top w:val="none" w:sz="0" w:space="0" w:color="auto"/>
            <w:left w:val="none" w:sz="0" w:space="0" w:color="auto"/>
            <w:bottom w:val="none" w:sz="0" w:space="0" w:color="auto"/>
            <w:right w:val="none" w:sz="0" w:space="0" w:color="auto"/>
          </w:divBdr>
        </w:div>
        <w:div w:id="367921102">
          <w:marLeft w:val="0"/>
          <w:marRight w:val="0"/>
          <w:marTop w:val="0"/>
          <w:marBottom w:val="0"/>
          <w:divBdr>
            <w:top w:val="none" w:sz="0" w:space="0" w:color="auto"/>
            <w:left w:val="none" w:sz="0" w:space="0" w:color="auto"/>
            <w:bottom w:val="none" w:sz="0" w:space="0" w:color="auto"/>
            <w:right w:val="none" w:sz="0" w:space="0" w:color="auto"/>
          </w:divBdr>
        </w:div>
        <w:div w:id="1704361886">
          <w:marLeft w:val="0"/>
          <w:marRight w:val="0"/>
          <w:marTop w:val="0"/>
          <w:marBottom w:val="0"/>
          <w:divBdr>
            <w:top w:val="none" w:sz="0" w:space="0" w:color="auto"/>
            <w:left w:val="none" w:sz="0" w:space="0" w:color="auto"/>
            <w:bottom w:val="none" w:sz="0" w:space="0" w:color="auto"/>
            <w:right w:val="none" w:sz="0" w:space="0" w:color="auto"/>
          </w:divBdr>
        </w:div>
        <w:div w:id="102773304">
          <w:marLeft w:val="0"/>
          <w:marRight w:val="0"/>
          <w:marTop w:val="0"/>
          <w:marBottom w:val="0"/>
          <w:divBdr>
            <w:top w:val="none" w:sz="0" w:space="0" w:color="auto"/>
            <w:left w:val="none" w:sz="0" w:space="0" w:color="auto"/>
            <w:bottom w:val="none" w:sz="0" w:space="0" w:color="auto"/>
            <w:right w:val="none" w:sz="0" w:space="0" w:color="auto"/>
          </w:divBdr>
        </w:div>
        <w:div w:id="348290693">
          <w:marLeft w:val="0"/>
          <w:marRight w:val="0"/>
          <w:marTop w:val="0"/>
          <w:marBottom w:val="0"/>
          <w:divBdr>
            <w:top w:val="none" w:sz="0" w:space="0" w:color="auto"/>
            <w:left w:val="none" w:sz="0" w:space="0" w:color="auto"/>
            <w:bottom w:val="none" w:sz="0" w:space="0" w:color="auto"/>
            <w:right w:val="none" w:sz="0" w:space="0" w:color="auto"/>
          </w:divBdr>
        </w:div>
        <w:div w:id="1708988415">
          <w:marLeft w:val="0"/>
          <w:marRight w:val="0"/>
          <w:marTop w:val="0"/>
          <w:marBottom w:val="0"/>
          <w:divBdr>
            <w:top w:val="none" w:sz="0" w:space="0" w:color="auto"/>
            <w:left w:val="none" w:sz="0" w:space="0" w:color="auto"/>
            <w:bottom w:val="none" w:sz="0" w:space="0" w:color="auto"/>
            <w:right w:val="none" w:sz="0" w:space="0" w:color="auto"/>
          </w:divBdr>
        </w:div>
        <w:div w:id="380711003">
          <w:marLeft w:val="0"/>
          <w:marRight w:val="0"/>
          <w:marTop w:val="0"/>
          <w:marBottom w:val="0"/>
          <w:divBdr>
            <w:top w:val="none" w:sz="0" w:space="0" w:color="auto"/>
            <w:left w:val="none" w:sz="0" w:space="0" w:color="auto"/>
            <w:bottom w:val="none" w:sz="0" w:space="0" w:color="auto"/>
            <w:right w:val="none" w:sz="0" w:space="0" w:color="auto"/>
          </w:divBdr>
        </w:div>
        <w:div w:id="485557829">
          <w:marLeft w:val="0"/>
          <w:marRight w:val="0"/>
          <w:marTop w:val="0"/>
          <w:marBottom w:val="0"/>
          <w:divBdr>
            <w:top w:val="none" w:sz="0" w:space="0" w:color="auto"/>
            <w:left w:val="none" w:sz="0" w:space="0" w:color="auto"/>
            <w:bottom w:val="none" w:sz="0" w:space="0" w:color="auto"/>
            <w:right w:val="none" w:sz="0" w:space="0" w:color="auto"/>
          </w:divBdr>
        </w:div>
        <w:div w:id="38550664">
          <w:marLeft w:val="0"/>
          <w:marRight w:val="0"/>
          <w:marTop w:val="0"/>
          <w:marBottom w:val="0"/>
          <w:divBdr>
            <w:top w:val="none" w:sz="0" w:space="0" w:color="auto"/>
            <w:left w:val="none" w:sz="0" w:space="0" w:color="auto"/>
            <w:bottom w:val="none" w:sz="0" w:space="0" w:color="auto"/>
            <w:right w:val="none" w:sz="0" w:space="0" w:color="auto"/>
          </w:divBdr>
        </w:div>
        <w:div w:id="1094590062">
          <w:marLeft w:val="0"/>
          <w:marRight w:val="0"/>
          <w:marTop w:val="0"/>
          <w:marBottom w:val="0"/>
          <w:divBdr>
            <w:top w:val="none" w:sz="0" w:space="0" w:color="auto"/>
            <w:left w:val="none" w:sz="0" w:space="0" w:color="auto"/>
            <w:bottom w:val="none" w:sz="0" w:space="0" w:color="auto"/>
            <w:right w:val="none" w:sz="0" w:space="0" w:color="auto"/>
          </w:divBdr>
        </w:div>
        <w:div w:id="1606812359">
          <w:marLeft w:val="0"/>
          <w:marRight w:val="0"/>
          <w:marTop w:val="0"/>
          <w:marBottom w:val="0"/>
          <w:divBdr>
            <w:top w:val="none" w:sz="0" w:space="0" w:color="auto"/>
            <w:left w:val="none" w:sz="0" w:space="0" w:color="auto"/>
            <w:bottom w:val="none" w:sz="0" w:space="0" w:color="auto"/>
            <w:right w:val="none" w:sz="0" w:space="0" w:color="auto"/>
          </w:divBdr>
        </w:div>
        <w:div w:id="584388400">
          <w:marLeft w:val="0"/>
          <w:marRight w:val="0"/>
          <w:marTop w:val="0"/>
          <w:marBottom w:val="0"/>
          <w:divBdr>
            <w:top w:val="none" w:sz="0" w:space="0" w:color="auto"/>
            <w:left w:val="none" w:sz="0" w:space="0" w:color="auto"/>
            <w:bottom w:val="none" w:sz="0" w:space="0" w:color="auto"/>
            <w:right w:val="none" w:sz="0" w:space="0" w:color="auto"/>
          </w:divBdr>
        </w:div>
        <w:div w:id="765149267">
          <w:marLeft w:val="0"/>
          <w:marRight w:val="0"/>
          <w:marTop w:val="0"/>
          <w:marBottom w:val="0"/>
          <w:divBdr>
            <w:top w:val="none" w:sz="0" w:space="0" w:color="auto"/>
            <w:left w:val="none" w:sz="0" w:space="0" w:color="auto"/>
            <w:bottom w:val="none" w:sz="0" w:space="0" w:color="auto"/>
            <w:right w:val="none" w:sz="0" w:space="0" w:color="auto"/>
          </w:divBdr>
        </w:div>
        <w:div w:id="1445808125">
          <w:marLeft w:val="0"/>
          <w:marRight w:val="0"/>
          <w:marTop w:val="0"/>
          <w:marBottom w:val="0"/>
          <w:divBdr>
            <w:top w:val="none" w:sz="0" w:space="0" w:color="auto"/>
            <w:left w:val="none" w:sz="0" w:space="0" w:color="auto"/>
            <w:bottom w:val="none" w:sz="0" w:space="0" w:color="auto"/>
            <w:right w:val="none" w:sz="0" w:space="0" w:color="auto"/>
          </w:divBdr>
        </w:div>
        <w:div w:id="1168328245">
          <w:marLeft w:val="0"/>
          <w:marRight w:val="0"/>
          <w:marTop w:val="0"/>
          <w:marBottom w:val="0"/>
          <w:divBdr>
            <w:top w:val="none" w:sz="0" w:space="0" w:color="auto"/>
            <w:left w:val="none" w:sz="0" w:space="0" w:color="auto"/>
            <w:bottom w:val="none" w:sz="0" w:space="0" w:color="auto"/>
            <w:right w:val="none" w:sz="0" w:space="0" w:color="auto"/>
          </w:divBdr>
        </w:div>
        <w:div w:id="1904900582">
          <w:marLeft w:val="0"/>
          <w:marRight w:val="0"/>
          <w:marTop w:val="0"/>
          <w:marBottom w:val="0"/>
          <w:divBdr>
            <w:top w:val="none" w:sz="0" w:space="0" w:color="auto"/>
            <w:left w:val="none" w:sz="0" w:space="0" w:color="auto"/>
            <w:bottom w:val="none" w:sz="0" w:space="0" w:color="auto"/>
            <w:right w:val="none" w:sz="0" w:space="0" w:color="auto"/>
          </w:divBdr>
        </w:div>
        <w:div w:id="297805319">
          <w:marLeft w:val="0"/>
          <w:marRight w:val="0"/>
          <w:marTop w:val="0"/>
          <w:marBottom w:val="0"/>
          <w:divBdr>
            <w:top w:val="none" w:sz="0" w:space="0" w:color="auto"/>
            <w:left w:val="none" w:sz="0" w:space="0" w:color="auto"/>
            <w:bottom w:val="none" w:sz="0" w:space="0" w:color="auto"/>
            <w:right w:val="none" w:sz="0" w:space="0" w:color="auto"/>
          </w:divBdr>
        </w:div>
        <w:div w:id="1884903935">
          <w:marLeft w:val="0"/>
          <w:marRight w:val="0"/>
          <w:marTop w:val="0"/>
          <w:marBottom w:val="0"/>
          <w:divBdr>
            <w:top w:val="none" w:sz="0" w:space="0" w:color="auto"/>
            <w:left w:val="none" w:sz="0" w:space="0" w:color="auto"/>
            <w:bottom w:val="none" w:sz="0" w:space="0" w:color="auto"/>
            <w:right w:val="none" w:sz="0" w:space="0" w:color="auto"/>
          </w:divBdr>
        </w:div>
        <w:div w:id="618491328">
          <w:marLeft w:val="0"/>
          <w:marRight w:val="0"/>
          <w:marTop w:val="0"/>
          <w:marBottom w:val="0"/>
          <w:divBdr>
            <w:top w:val="none" w:sz="0" w:space="0" w:color="auto"/>
            <w:left w:val="none" w:sz="0" w:space="0" w:color="auto"/>
            <w:bottom w:val="none" w:sz="0" w:space="0" w:color="auto"/>
            <w:right w:val="none" w:sz="0" w:space="0" w:color="auto"/>
          </w:divBdr>
        </w:div>
        <w:div w:id="3428214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ntana.edu/policy/volunte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ana.edu/policy/discrimin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ana.edu/policy/personnel/per40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tana.edu/policy/background_check/" TargetMode="External"/><Relationship Id="rId4" Type="http://schemas.openxmlformats.org/officeDocument/2006/relationships/settings" Target="settings.xml"/><Relationship Id="rId9" Type="http://schemas.openxmlformats.org/officeDocument/2006/relationships/hyperlink" Target="http://www.montana.edu/orc/exportcontrol/polic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67F1-8939-4108-8D4A-5BE47B85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CLASSIFIED EMPLOYEES</vt:lpstr>
    </vt:vector>
  </TitlesOfParts>
  <Company>Montana State University</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EMPLOYEES</dc:title>
  <dc:creator>Victoria Jacques</dc:creator>
  <cp:lastModifiedBy>Leslie C. Taylor</cp:lastModifiedBy>
  <cp:revision>2</cp:revision>
  <dcterms:created xsi:type="dcterms:W3CDTF">2016-01-27T18:25:00Z</dcterms:created>
  <dcterms:modified xsi:type="dcterms:W3CDTF">2016-01-27T18:25:00Z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2013-05-09T00:00:00Z</vt:filetime>
  </property>
  <property fmtid="{D5CDD505-2E9C-101B-9397-08002B2CF9AE}" pid="3" name="LastSaved">
    <vt:filetime>2015-08-18T00:00:00Z</vt:filetime>
  </property>
</Properties>
</file>